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18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Приложение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постановлени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</w:r>
    </w:p>
    <w:p>
      <w:pPr>
        <w:pStyle w:val="718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</w:t>
      </w:r>
      <w:r>
        <w:rPr>
          <w:sz w:val="28"/>
          <w:szCs w:val="28"/>
        </w:rPr>
      </w:r>
    </w:p>
    <w:p>
      <w:pPr>
        <w:pStyle w:val="718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Ленинградский </w:t>
      </w:r>
      <w:r>
        <w:rPr>
          <w:sz w:val="28"/>
          <w:szCs w:val="28"/>
        </w:rPr>
        <w:t xml:space="preserve">муниципальный округ Краснодарского края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25.03.2026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360</w:t>
      </w:r>
      <w:r>
        <w:rPr>
          <w:sz w:val="28"/>
          <w:szCs w:val="28"/>
        </w:rPr>
      </w:r>
    </w:p>
    <w:p>
      <w:pPr>
        <w:pStyle w:val="718"/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риложение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УТВЕРЖДЕН</w:t>
      </w:r>
      <w:r>
        <w:rPr>
          <w:sz w:val="28"/>
          <w:szCs w:val="28"/>
        </w:rPr>
      </w:r>
    </w:p>
    <w:p>
      <w:pPr>
        <w:pStyle w:val="718"/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постановлени</w:t>
      </w:r>
      <w:r>
        <w:rPr>
          <w:sz w:val="28"/>
          <w:szCs w:val="28"/>
        </w:rPr>
        <w:t xml:space="preserve">ем</w:t>
      </w:r>
      <w:r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Ленинградский </w:t>
      </w:r>
      <w:r>
        <w:rPr>
          <w:sz w:val="28"/>
          <w:szCs w:val="28"/>
        </w:rPr>
        <w:t xml:space="preserve">район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от 8 октября 2021 г. № 1048</w:t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pStyle w:val="718"/>
        <w:shd w:val="clear" w:color="auto" w:fill="ffffff"/>
        <w:rPr>
          <w:sz w:val="24"/>
          <w:szCs w:val="24"/>
        </w:rPr>
        <w:outlineLvl w:val="0"/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18"/>
        <w:jc w:val="center"/>
        <w:shd w:val="clear" w:color="auto" w:fill="ffffff"/>
        <w:rPr>
          <w:sz w:val="24"/>
          <w:szCs w:val="24"/>
        </w:rPr>
        <w:outlineLvl w:val="0"/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18"/>
        <w:jc w:val="center"/>
        <w:shd w:val="clear" w:color="auto" w:fill="ffffff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ПАСПОРТ</w:t>
      </w:r>
      <w:r>
        <w:rPr>
          <w:b/>
          <w:sz w:val="28"/>
          <w:szCs w:val="28"/>
        </w:rPr>
      </w:r>
    </w:p>
    <w:p>
      <w:pPr>
        <w:pStyle w:val="718"/>
        <w:jc w:val="center"/>
        <w:shd w:val="clear" w:color="auto" w:fill="ffffff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м</w:t>
      </w:r>
      <w:r>
        <w:rPr>
          <w:b/>
          <w:sz w:val="28"/>
          <w:szCs w:val="28"/>
        </w:rPr>
        <w:t xml:space="preserve">униципальной программы</w:t>
      </w:r>
      <w:r>
        <w:rPr>
          <w:b/>
          <w:sz w:val="28"/>
          <w:szCs w:val="28"/>
        </w:rPr>
      </w:r>
    </w:p>
    <w:p>
      <w:pPr>
        <w:pStyle w:val="718"/>
        <w:jc w:val="center"/>
        <w:shd w:val="clear" w:color="auto" w:fill="ffffff"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Обращение с твердыми коммунальными отходами на территории Ленинградск</w:t>
      </w:r>
      <w:r>
        <w:rPr>
          <w:b/>
          <w:sz w:val="28"/>
          <w:szCs w:val="28"/>
        </w:rPr>
        <w:t xml:space="preserve">ого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</w:t>
      </w:r>
      <w:r>
        <w:rPr>
          <w:b/>
          <w:sz w:val="28"/>
          <w:szCs w:val="28"/>
        </w:rPr>
        <w:t xml:space="preserve">ого</w:t>
      </w:r>
      <w:r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 xml:space="preserve">а</w:t>
      </w:r>
      <w:r>
        <w:rPr>
          <w:b/>
          <w:bCs/>
          <w:sz w:val="28"/>
          <w:szCs w:val="28"/>
        </w:rPr>
        <w:t xml:space="preserve">»</w:t>
      </w:r>
      <w:r>
        <w:rPr>
          <w:b/>
          <w:bCs/>
          <w:sz w:val="28"/>
          <w:szCs w:val="28"/>
        </w:rPr>
      </w:r>
    </w:p>
    <w:p>
      <w:pPr>
        <w:pStyle w:val="718"/>
        <w:jc w:val="center"/>
        <w:shd w:val="clear" w:color="auto" w:fill="ffffff"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(далее – Программа)</w:t>
      </w:r>
      <w:r>
        <w:rPr>
          <w:b/>
          <w:bCs/>
          <w:sz w:val="28"/>
          <w:szCs w:val="28"/>
        </w:rPr>
      </w:r>
    </w:p>
    <w:p>
      <w:pPr>
        <w:pStyle w:val="718"/>
        <w:jc w:val="center"/>
        <w:shd w:val="clear" w:color="auto" w:fill="ffffff"/>
        <w:rPr>
          <w:sz w:val="28"/>
          <w:szCs w:val="28"/>
        </w:rPr>
        <w:outlineLvl w:val="0"/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639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8"/>
        <w:gridCol w:w="496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vAlign w:val="top"/>
            <w:textDirection w:val="lrTb"/>
            <w:noWrap w:val="false"/>
          </w:tcPr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Координатор муниципальной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программы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vAlign w:val="top"/>
            <w:textDirection w:val="lrTb"/>
            <w:noWrap w:val="false"/>
          </w:tcPr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Сектор работы с </w:t>
            </w:r>
            <w:r>
              <w:rPr>
                <w:sz w:val="28"/>
                <w:szCs w:val="28"/>
              </w:rPr>
              <w:t xml:space="preserve">ТКО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правлени</w:t>
            </w:r>
            <w:r>
              <w:rPr>
                <w:sz w:val="28"/>
                <w:szCs w:val="28"/>
              </w:rPr>
              <w:t xml:space="preserve">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ТЭК и ЖКХ </w:t>
            </w:r>
            <w:r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 xml:space="preserve">Ленинградск</w:t>
            </w:r>
            <w:r>
              <w:rPr>
                <w:sz w:val="28"/>
                <w:szCs w:val="28"/>
              </w:rPr>
              <w:t xml:space="preserve">ого</w:t>
            </w:r>
            <w:r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 xml:space="preserve">ого</w:t>
            </w:r>
            <w:r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vAlign w:val="top"/>
            <w:textDirection w:val="lrTb"/>
            <w:noWrap w:val="false"/>
          </w:tcPr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муниципальной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программы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vAlign w:val="top"/>
            <w:textDirection w:val="lrTb"/>
            <w:noWrap w:val="false"/>
          </w:tcPr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Сектор работы с ТКО управления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ТЭК и ЖКХ </w:t>
            </w:r>
            <w:r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 xml:space="preserve">Ленинградского муниципального округа</w:t>
            </w:r>
            <w:r>
              <w:rPr>
                <w:sz w:val="28"/>
                <w:szCs w:val="28"/>
              </w:rPr>
              <w:t xml:space="preserve">, муниципальное казенное учреждение «Центр комплексного содержания территории» администрации Ленинградского муниципального округа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vAlign w:val="top"/>
            <w:textDirection w:val="lrTb"/>
            <w:noWrap w:val="false"/>
          </w:tcPr>
          <w:p>
            <w:pPr>
              <w:pStyle w:val="7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</w:t>
            </w:r>
            <w:r>
              <w:rPr>
                <w:sz w:val="28"/>
                <w:szCs w:val="28"/>
              </w:rPr>
              <w:t xml:space="preserve"> муниципальной программы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vAlign w:val="top"/>
            <w:textDirection w:val="lrTb"/>
            <w:noWrap w:val="false"/>
          </w:tcPr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и развитие комплексной эффективной системы обращения с твердыми коммунальными отходами на территории Ленинградского </w:t>
            </w:r>
            <w:r>
              <w:rPr>
                <w:sz w:val="28"/>
                <w:szCs w:val="28"/>
              </w:rPr>
              <w:t xml:space="preserve">муниципального округа</w:t>
            </w:r>
            <w:r>
              <w:rPr>
                <w:sz w:val="28"/>
                <w:szCs w:val="28"/>
              </w:rPr>
              <w:t xml:space="preserve">, предусматривающей снижение негативного воздействия твердых коммунальных отходов на население и окружающую среду;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условий для приведения инфраструктуры в области обращения с твердыми коммунальными отходами в соответствие с требованиями законодательства;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Улучшение санитарной и эпидемиологической безопасности населения, с</w:t>
            </w: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  <w:t xml:space="preserve">блюдения законодательства в области охраны окружающей среды; 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своевременного сбора и вывоза </w:t>
            </w:r>
            <w:r>
              <w:rPr>
                <w:sz w:val="28"/>
                <w:szCs w:val="28"/>
              </w:rPr>
              <w:t xml:space="preserve">твердых коммунальных отходов</w:t>
            </w:r>
            <w:r>
              <w:rPr>
                <w:sz w:val="28"/>
                <w:szCs w:val="28"/>
              </w:rPr>
              <w:t xml:space="preserve"> на территории Ленинградск</w:t>
            </w:r>
            <w:r>
              <w:rPr>
                <w:sz w:val="28"/>
                <w:szCs w:val="28"/>
              </w:rPr>
              <w:t xml:space="preserve">ого муниципального округа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уровня экологического воспитания и экологической культуры населения.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vAlign w:val="top"/>
            <w:textDirection w:val="lrTb"/>
            <w:noWrap w:val="false"/>
          </w:tcPr>
          <w:p>
            <w:pPr>
              <w:pStyle w:val="7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 муниципальной программы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vAlign w:val="top"/>
            <w:textDirection w:val="lrTb"/>
            <w:noWrap w:val="false"/>
          </w:tcPr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и обустройство мест контейнерных площадок для сбора (накопления) твердых коммунальных отходов на территории </w:t>
            </w:r>
            <w:r>
              <w:rPr>
                <w:sz w:val="28"/>
                <w:szCs w:val="28"/>
              </w:rPr>
              <w:t xml:space="preserve">Ленинградск</w:t>
            </w:r>
            <w:r>
              <w:rPr>
                <w:sz w:val="28"/>
                <w:szCs w:val="28"/>
              </w:rPr>
              <w:t xml:space="preserve">ого</w:t>
            </w:r>
            <w:r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 xml:space="preserve">ого</w:t>
            </w:r>
            <w:r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в муниципальную собственность контейнеров для складирования твердых коммунальных отходов;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Поддержание должного санитарного порядка на территории Ленинградского </w:t>
            </w:r>
            <w:r>
              <w:rPr>
                <w:sz w:val="28"/>
                <w:szCs w:val="28"/>
              </w:rPr>
              <w:t xml:space="preserve">муниципального округа</w:t>
            </w:r>
            <w:r>
              <w:rPr>
                <w:sz w:val="28"/>
                <w:szCs w:val="28"/>
              </w:rPr>
              <w:t xml:space="preserve"> путем заключения договоров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</w:rPr>
              <w:t xml:space="preserve">на уборку</w:t>
            </w:r>
            <w:r>
              <w:rPr>
                <w:sz w:val="28"/>
                <w:szCs w:val="28"/>
              </w:rPr>
              <w:t xml:space="preserve"> контейнерных площадок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Обеспечение планово-регулярной системой сбора и вывоза ТКО на территории </w:t>
            </w:r>
            <w:r>
              <w:rPr>
                <w:sz w:val="28"/>
                <w:szCs w:val="28"/>
              </w:rPr>
              <w:t xml:space="preserve">Ленинградск</w:t>
            </w:r>
            <w:r>
              <w:rPr>
                <w:sz w:val="28"/>
                <w:szCs w:val="28"/>
              </w:rPr>
              <w:t xml:space="preserve">ого</w:t>
            </w:r>
            <w:r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 xml:space="preserve">ого</w:t>
            </w:r>
            <w:r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  <w:t xml:space="preserve">пределение схемы размещения мест (площадок) накопления твердых коммунальных отходов и ведение реестра мест (площадок) накопления твердых коммунальных отходов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уровня экологического воспитания и экологической культуры населения.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vAlign w:val="top"/>
            <w:textDirection w:val="lrTb"/>
            <w:noWrap w:val="false"/>
          </w:tcPr>
          <w:p>
            <w:pPr>
              <w:pStyle w:val="7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целевых показателей</w:t>
            </w:r>
            <w:r>
              <w:rPr>
                <w:sz w:val="28"/>
                <w:szCs w:val="28"/>
              </w:rPr>
              <w:br w:type="textWrapping" w:clear="all"/>
            </w: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ниципальной программы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vAlign w:val="top"/>
            <w:textDirection w:val="lrTb"/>
            <w:noWrap w:val="false"/>
          </w:tcPr>
          <w:p>
            <w:pPr>
              <w:pStyle w:val="7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и обустройство контейнерных площадок</w:t>
            </w:r>
            <w:r>
              <w:rPr>
                <w:sz w:val="28"/>
                <w:szCs w:val="28"/>
              </w:rPr>
              <w:t xml:space="preserve"> и прилегающей территории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</w:t>
            </w:r>
            <w:r>
              <w:rPr>
                <w:sz w:val="28"/>
                <w:szCs w:val="28"/>
              </w:rPr>
              <w:t xml:space="preserve">риобретение контейнеров;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</w:t>
            </w:r>
            <w:r>
              <w:rPr>
                <w:sz w:val="28"/>
                <w:szCs w:val="28"/>
              </w:rPr>
              <w:t xml:space="preserve">аключения договоров на уборку контейнерных площадок</w:t>
            </w:r>
            <w:r>
              <w:rPr>
                <w:sz w:val="28"/>
                <w:szCs w:val="28"/>
              </w:rPr>
              <w:t xml:space="preserve"> с целью снижения количества обращений граждан на их неудовлетворительное санитарное состояние, захламленность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</w:t>
            </w:r>
            <w:r>
              <w:rPr>
                <w:sz w:val="28"/>
                <w:szCs w:val="28"/>
              </w:rPr>
              <w:t xml:space="preserve">овышение уровня экологического воспитания и экологической культуры населения.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rPr>
                <w:b/>
                <w:color w:val="ff0000"/>
                <w:sz w:val="36"/>
                <w:szCs w:val="28"/>
              </w:rPr>
            </w:pPr>
            <w:r>
              <w:rPr>
                <w:b/>
                <w:color w:val="ff0000"/>
                <w:sz w:val="36"/>
                <w:szCs w:val="28"/>
              </w:rPr>
            </w:r>
            <w:r>
              <w:rPr>
                <w:b/>
                <w:color w:val="ff0000"/>
                <w:sz w:val="36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vAlign w:val="top"/>
            <w:textDirection w:val="lrTb"/>
            <w:noWrap w:val="false"/>
          </w:tcPr>
          <w:p>
            <w:pPr>
              <w:pStyle w:val="718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Этапы и сроки реализации муниц</w:t>
            </w:r>
            <w:r>
              <w:rPr>
                <w:sz w:val="28"/>
                <w:szCs w:val="28"/>
              </w:rPr>
              <w:t xml:space="preserve">и</w:t>
            </w:r>
            <w:r>
              <w:rPr>
                <w:sz w:val="28"/>
                <w:szCs w:val="28"/>
              </w:rPr>
              <w:t xml:space="preserve">пальной программы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vAlign w:val="top"/>
            <w:textDirection w:val="lrTb"/>
            <w:noWrap w:val="false"/>
          </w:tcPr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5</w:t>
            </w:r>
            <w:r>
              <w:rPr>
                <w:sz w:val="28"/>
                <w:szCs w:val="28"/>
              </w:rPr>
              <w:t xml:space="preserve"> - 202</w:t>
            </w:r>
            <w:r>
              <w:rPr>
                <w:sz w:val="28"/>
                <w:szCs w:val="28"/>
              </w:rPr>
              <w:t xml:space="preserve">9</w:t>
            </w:r>
            <w:r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этапы не предусмотрены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281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vAlign w:val="top"/>
            <w:textDirection w:val="lrTb"/>
            <w:noWrap w:val="false"/>
          </w:tcPr>
          <w:p>
            <w:pPr>
              <w:pStyle w:val="76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муниципальной программы, всего, в т.ч. по годам и источникам фина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18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vAlign w:val="top"/>
            <w:textDirection w:val="lrTb"/>
            <w:noWrap w:val="false"/>
          </w:tcPr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Общий объем финансирования из бюджетов всех уровней составляет </w:t>
            </w:r>
            <w:r>
              <w:rPr>
                <w:bCs/>
                <w:sz w:val="28"/>
                <w:szCs w:val="28"/>
              </w:rPr>
              <w:t xml:space="preserve">109</w:t>
            </w:r>
            <w:r>
              <w:rPr>
                <w:bCs/>
                <w:sz w:val="28"/>
                <w:szCs w:val="28"/>
              </w:rPr>
              <w:t xml:space="preserve">00,00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 xml:space="preserve">руб</w:t>
            </w:r>
            <w:r>
              <w:rPr>
                <w:sz w:val="28"/>
                <w:szCs w:val="28"/>
              </w:rPr>
              <w:t xml:space="preserve">лей, из них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го</w:t>
            </w:r>
            <w:r>
              <w:rPr>
                <w:sz w:val="28"/>
                <w:szCs w:val="28"/>
              </w:rPr>
              <w:t xml:space="preserve">дам:</w:t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5</w:t>
            </w:r>
            <w:r>
              <w:rPr>
                <w:sz w:val="28"/>
                <w:szCs w:val="28"/>
              </w:rPr>
              <w:t xml:space="preserve"> год</w:t>
              <w:tab/>
            </w:r>
            <w:r>
              <w:rPr>
                <w:bCs/>
                <w:sz w:val="28"/>
                <w:szCs w:val="28"/>
              </w:rPr>
              <w:t xml:space="preserve">5300,00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</w:t>
            </w:r>
            <w:r>
              <w:rPr>
                <w:sz w:val="28"/>
                <w:szCs w:val="28"/>
              </w:rPr>
              <w:t xml:space="preserve"> год</w:t>
              <w:tab/>
            </w:r>
            <w:r>
              <w:rPr>
                <w:sz w:val="28"/>
                <w:szCs w:val="28"/>
              </w:rPr>
              <w:t xml:space="preserve">1175</w:t>
            </w:r>
            <w:r>
              <w:rPr>
                <w:bCs/>
                <w:sz w:val="28"/>
                <w:szCs w:val="28"/>
              </w:rPr>
              <w:t xml:space="preserve">,00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</w:t>
            </w:r>
            <w:r>
              <w:rPr>
                <w:sz w:val="28"/>
                <w:szCs w:val="28"/>
              </w:rPr>
              <w:t xml:space="preserve"> год</w:t>
              <w:tab/>
            </w:r>
            <w:r>
              <w:rPr>
                <w:sz w:val="28"/>
                <w:szCs w:val="28"/>
              </w:rPr>
              <w:t xml:space="preserve">300,0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</w:t>
            </w:r>
            <w:r>
              <w:rPr>
                <w:sz w:val="28"/>
                <w:szCs w:val="28"/>
              </w:rPr>
              <w:t xml:space="preserve"> год</w:t>
              <w:tab/>
            </w: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</w:t>
            </w:r>
            <w:r>
              <w:rPr>
                <w:sz w:val="28"/>
                <w:szCs w:val="28"/>
              </w:rPr>
              <w:t xml:space="preserve"> год</w:t>
              <w:tab/>
            </w: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718"/>
        <w:numPr>
          <w:ilvl w:val="0"/>
          <w:numId w:val="33"/>
        </w:numPr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Характеристика текущего состояния и прогноз развития соответствующей сферы реа</w:t>
      </w:r>
      <w:r>
        <w:rPr>
          <w:b/>
          <w:sz w:val="28"/>
          <w:szCs w:val="28"/>
        </w:rPr>
        <w:t xml:space="preserve">лизации муниципальной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eastAsia="Times New Roman" w:cs="Times New Roman"/>
          <w:sz w:val="28"/>
          <w:szCs w:val="28"/>
          <w:lang w:val="ru-RU" w:eastAsia="ru-RU" w:bidi="ar-SA"/>
        </w:rPr>
      </w:pPr>
      <w:r>
        <w:rPr>
          <w:rFonts w:eastAsia="Times New Roman" w:cs="Times New Roman"/>
          <w:sz w:val="28"/>
          <w:szCs w:val="28"/>
          <w:lang w:val="ru-RU" w:eastAsia="ru-RU" w:bidi="ar-SA"/>
        </w:rPr>
      </w:r>
      <w:r>
        <w:rPr>
          <w:rFonts w:eastAsia="Times New Roman" w:cs="Times New Roman"/>
          <w:sz w:val="28"/>
          <w:szCs w:val="28"/>
          <w:lang w:val="ru-RU" w:eastAsia="ru-RU" w:bidi="ar-SA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С </w:t>
      </w:r>
      <w:r>
        <w:rPr>
          <w:rFonts w:cs="Times New Roman"/>
          <w:sz w:val="28"/>
          <w:szCs w:val="28"/>
          <w:lang w:val="ru-RU"/>
        </w:rPr>
        <w:t xml:space="preserve">1</w:t>
      </w:r>
      <w:r>
        <w:rPr>
          <w:rFonts w:cs="Times New Roman"/>
          <w:sz w:val="28"/>
          <w:szCs w:val="28"/>
          <w:lang w:val="ru-RU"/>
        </w:rPr>
        <w:t xml:space="preserve"> января </w:t>
      </w:r>
      <w:r>
        <w:rPr>
          <w:rFonts w:cs="Times New Roman"/>
          <w:sz w:val="28"/>
          <w:szCs w:val="28"/>
          <w:lang w:val="ru-RU"/>
        </w:rPr>
        <w:t xml:space="preserve">2019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г. постановлением Правительств</w:t>
      </w:r>
      <w:r>
        <w:rPr>
          <w:rFonts w:cs="Times New Roman"/>
          <w:sz w:val="28"/>
          <w:szCs w:val="28"/>
          <w:lang w:val="ru-RU"/>
        </w:rPr>
        <w:t xml:space="preserve">а Российской Федерации от 15 декабря </w:t>
      </w:r>
      <w:r>
        <w:rPr>
          <w:rFonts w:cs="Times New Roman"/>
          <w:sz w:val="28"/>
          <w:szCs w:val="28"/>
          <w:lang w:val="ru-RU"/>
        </w:rPr>
        <w:t xml:space="preserve">2018г. № 1572 </w:t>
      </w:r>
      <w:r>
        <w:rPr>
          <w:rFonts w:cs="Times New Roman"/>
          <w:sz w:val="28"/>
          <w:szCs w:val="28"/>
          <w:lang w:val="ru-RU"/>
        </w:rPr>
        <w:t xml:space="preserve">«О внесении изменений в некоторые акты Правительства Российской Федерации» </w:t>
      </w:r>
      <w:r>
        <w:rPr>
          <w:rFonts w:cs="Times New Roman"/>
          <w:sz w:val="28"/>
          <w:szCs w:val="28"/>
          <w:lang w:val="ru-RU"/>
        </w:rPr>
        <w:t xml:space="preserve">внесены изменения в ряд нормативно-правовых актов, регулирующих порядок обращения с твердыми коммунальными отходами (далее ТКО).</w:t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В соответствии с Правилами обустройства (площадок) накопления твердых коммунальных отходов и ведения их реестра, утвержденных постановлением Правительства Российской Федерации от 31</w:t>
      </w:r>
      <w:r>
        <w:rPr>
          <w:rFonts w:cs="Times New Roman"/>
          <w:sz w:val="28"/>
          <w:szCs w:val="28"/>
          <w:lang w:val="ru-RU"/>
        </w:rPr>
        <w:t xml:space="preserve"> августа </w:t>
      </w:r>
      <w:r>
        <w:rPr>
          <w:rFonts w:cs="Times New Roman"/>
          <w:sz w:val="28"/>
          <w:szCs w:val="28"/>
          <w:lang w:val="ru-RU"/>
        </w:rPr>
        <w:t xml:space="preserve">2018 г. </w:t>
      </w:r>
      <w:r>
        <w:rPr>
          <w:rFonts w:cs="Times New Roman"/>
          <w:sz w:val="28"/>
          <w:szCs w:val="28"/>
          <w:lang w:val="ru-RU"/>
        </w:rPr>
        <w:t xml:space="preserve">             </w:t>
      </w:r>
      <w:r>
        <w:rPr>
          <w:rFonts w:cs="Times New Roman"/>
          <w:sz w:val="28"/>
          <w:szCs w:val="28"/>
          <w:lang w:val="ru-RU"/>
        </w:rPr>
        <w:t xml:space="preserve">№ 1039, места (площадки) накопления твердых коммунальных отходов создаются органами местного самоуправления, за исключением установленных законодательством Российской Федерации случаев, когда такая обязанность лежит на других лицах.</w:t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В соответствии с </w:t>
      </w:r>
      <w:r>
        <w:rPr>
          <w:bCs/>
          <w:sz w:val="28"/>
          <w:szCs w:val="28"/>
          <w:shd w:val="clear" w:color="auto" w:fill="ffffff"/>
        </w:rPr>
        <w:t xml:space="preserve">Постановление</w:t>
      </w:r>
      <w:r>
        <w:rPr>
          <w:bCs/>
          <w:sz w:val="28"/>
          <w:szCs w:val="28"/>
          <w:shd w:val="clear" w:color="auto" w:fill="ffffff"/>
          <w:lang w:val="ru-RU"/>
        </w:rPr>
        <w:t xml:space="preserve">м</w:t>
      </w:r>
      <w:r>
        <w:rPr>
          <w:bCs/>
          <w:sz w:val="28"/>
          <w:szCs w:val="28"/>
          <w:shd w:val="clear" w:color="auto" w:fill="ffffff"/>
        </w:rPr>
        <w:t xml:space="preserve"> Правительства РФ от 12 ноября 2016 г. </w:t>
      </w:r>
      <w:r>
        <w:rPr>
          <w:bCs/>
          <w:sz w:val="28"/>
          <w:szCs w:val="28"/>
          <w:shd w:val="clear" w:color="auto" w:fill="ffffff"/>
          <w:lang w:val="ru-RU"/>
        </w:rPr>
        <w:t xml:space="preserve">№</w:t>
      </w:r>
      <w:r>
        <w:rPr>
          <w:bCs/>
          <w:sz w:val="28"/>
          <w:szCs w:val="28"/>
          <w:shd w:val="clear" w:color="auto" w:fill="ffffff"/>
        </w:rPr>
        <w:t xml:space="preserve"> 1156</w:t>
      </w:r>
      <w:r>
        <w:rPr>
          <w:bCs/>
          <w:sz w:val="28"/>
          <w:szCs w:val="28"/>
          <w:shd w:val="clear" w:color="auto" w:fill="ffffff"/>
          <w:lang w:val="ru-RU"/>
        </w:rPr>
        <w:t xml:space="preserve"> «</w:t>
      </w:r>
      <w:r>
        <w:rPr>
          <w:bCs/>
          <w:sz w:val="28"/>
          <w:szCs w:val="28"/>
          <w:shd w:val="clear" w:color="auto" w:fill="ffffff"/>
        </w:rPr>
        <w:t xml:space="preserve">Об обращении с твердыми коммунальными отходами и внесении изменения в постановление Правительства Российской Федерации от 25 августа 2008 г. </w:t>
      </w:r>
      <w:r>
        <w:rPr>
          <w:bCs/>
          <w:sz w:val="28"/>
          <w:szCs w:val="28"/>
          <w:shd w:val="clear" w:color="auto" w:fill="ffffff"/>
          <w:lang w:val="ru-RU"/>
        </w:rPr>
        <w:t xml:space="preserve">№</w:t>
      </w:r>
      <w:r>
        <w:rPr>
          <w:bCs/>
          <w:sz w:val="28"/>
          <w:szCs w:val="28"/>
          <w:shd w:val="clear" w:color="auto" w:fill="ffffff"/>
        </w:rPr>
        <w:t xml:space="preserve"> 641</w:t>
      </w:r>
      <w:r>
        <w:rPr>
          <w:bCs/>
          <w:sz w:val="28"/>
          <w:szCs w:val="28"/>
          <w:shd w:val="clear" w:color="auto" w:fill="ffffff"/>
          <w:lang w:val="ru-RU"/>
        </w:rPr>
        <w:t xml:space="preserve">»</w:t>
      </w:r>
      <w:r>
        <w:rPr>
          <w:bCs/>
          <w:sz w:val="28"/>
          <w:szCs w:val="28"/>
          <w:shd w:val="clear" w:color="auto" w:fill="ffffff"/>
          <w:lang w:val="ru-RU"/>
        </w:rPr>
        <w:t xml:space="preserve">,</w:t>
      </w:r>
      <w:r>
        <w:rPr>
          <w:bCs/>
          <w:sz w:val="28"/>
          <w:szCs w:val="28"/>
          <w:shd w:val="clear" w:color="auto" w:fill="ffffff"/>
          <w:lang w:val="ru-RU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устан</w:t>
      </w:r>
      <w:r>
        <w:rPr>
          <w:sz w:val="28"/>
          <w:szCs w:val="28"/>
          <w:shd w:val="clear" w:color="auto" w:fill="ffffff"/>
          <w:lang w:val="ru-RU"/>
        </w:rPr>
        <w:t xml:space="preserve">овлен</w:t>
      </w:r>
      <w:r>
        <w:rPr>
          <w:sz w:val="28"/>
          <w:szCs w:val="28"/>
          <w:shd w:val="clear" w:color="auto" w:fill="ffffff"/>
        </w:rPr>
        <w:t xml:space="preserve"> порядок осуществления накопления, сбора, транспортирования, обработки, утилизации, обезвреживания и захоронения тве</w:t>
      </w:r>
      <w:r>
        <w:rPr>
          <w:sz w:val="28"/>
          <w:szCs w:val="28"/>
          <w:shd w:val="clear" w:color="auto" w:fill="ffffff"/>
        </w:rPr>
        <w:t xml:space="preserve">рдых коммунальных отходов, заключения договора на оказание услуг по обращению с твердыми коммунальными отходами, а также основания, по которым юридическое лицо может быть лишено статуса регионального оператора по обращению с твердыми коммунальными отходами</w:t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Органы местного самоуправления </w:t>
      </w:r>
      <w:r>
        <w:rPr>
          <w:rFonts w:cs="Times New Roman"/>
          <w:sz w:val="28"/>
          <w:szCs w:val="28"/>
          <w:lang w:val="ru-RU"/>
        </w:rPr>
        <w:t xml:space="preserve">приобретают в</w:t>
      </w:r>
      <w:r>
        <w:rPr>
          <w:rFonts w:cs="Times New Roman"/>
          <w:sz w:val="28"/>
          <w:szCs w:val="28"/>
          <w:lang w:val="ru-RU"/>
        </w:rPr>
        <w:t xml:space="preserve"> муниципал</w:t>
      </w:r>
      <w:r>
        <w:rPr>
          <w:rFonts w:cs="Times New Roman"/>
          <w:sz w:val="28"/>
          <w:szCs w:val="28"/>
          <w:lang w:val="ru-RU"/>
        </w:rPr>
        <w:t xml:space="preserve">ь</w:t>
      </w:r>
      <w:r>
        <w:rPr>
          <w:rFonts w:cs="Times New Roman"/>
          <w:sz w:val="28"/>
          <w:szCs w:val="28"/>
          <w:lang w:val="ru-RU"/>
        </w:rPr>
        <w:t xml:space="preserve">ную собственность </w:t>
      </w:r>
      <w:r>
        <w:rPr>
          <w:rFonts w:cs="Times New Roman"/>
          <w:sz w:val="28"/>
          <w:szCs w:val="28"/>
          <w:lang w:val="ru-RU"/>
        </w:rPr>
        <w:t xml:space="preserve">контейнеры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для складирования твердых коммунальных отходов</w:t>
      </w:r>
      <w:r>
        <w:rPr>
          <w:rFonts w:cs="Times New Roman"/>
          <w:sz w:val="28"/>
          <w:szCs w:val="28"/>
          <w:lang w:val="ru-RU"/>
        </w:rPr>
        <w:t xml:space="preserve">, </w:t>
      </w:r>
      <w:r>
        <w:rPr>
          <w:rFonts w:cs="Times New Roman"/>
          <w:sz w:val="28"/>
          <w:szCs w:val="28"/>
          <w:lang w:val="ru-RU"/>
        </w:rPr>
        <w:t xml:space="preserve">создают места (площадки) накопления твердых коммунальных отходов путем принятия решения в соответствии с требованиями правил благоустройства муниципального образован</w:t>
      </w:r>
      <w:r>
        <w:rPr>
          <w:rFonts w:cs="Times New Roman"/>
          <w:sz w:val="28"/>
          <w:szCs w:val="28"/>
          <w:lang w:val="ru-RU"/>
        </w:rPr>
        <w:t xml:space="preserve">ия, требованиями законодательствами Российской Федерации в области санитарно-эпидемиологического благополучия населения и иного законодательства Российской Федерации, устанавливающего требования к местам (площадкам) накопления твердых коммунальных отходов.</w:t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Отсутствие мест (площадок) накопления ТКО негативно влияет на здоровье людей и окружающую природную среду.</w:t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Проблема утилизации ТКО с каждым годом становится все более серьезной. Загрязнение окружающей среды отходами является одной из самых значимых проблем в настоящее время.</w:t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Она вычисляется по следующей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формуле: </w:t>
      </w:r>
      <w:r>
        <w:rPr>
          <w:rFonts w:cs="Times New Roman"/>
          <w:sz w:val="28"/>
          <w:szCs w:val="28"/>
          <w:lang w:val="ru-RU"/>
        </w:rPr>
        <w:t xml:space="preserve">Сначала</w:t>
      </w:r>
      <w:r>
        <w:rPr>
          <w:rFonts w:cs="Times New Roman"/>
          <w:sz w:val="28"/>
          <w:szCs w:val="28"/>
          <w:lang w:val="ru-RU"/>
        </w:rPr>
        <w:t xml:space="preserve"> определяется суточное накопление мусора по формуле:</w:t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C</w:t>
      </w:r>
      <w:r>
        <w:rPr>
          <w:rFonts w:cs="Times New Roman"/>
          <w:sz w:val="28"/>
          <w:szCs w:val="28"/>
          <w:lang w:val="ru-RU"/>
        </w:rPr>
        <w:t xml:space="preserve"> = (</w:t>
      </w:r>
      <w:r>
        <w:rPr>
          <w:rFonts w:cs="Times New Roman"/>
          <w:bCs/>
          <w:sz w:val="28"/>
          <w:szCs w:val="28"/>
          <w:lang w:val="ru-RU"/>
        </w:rPr>
        <w:t xml:space="preserve">P</w:t>
      </w:r>
      <w:r>
        <w:rPr>
          <w:rFonts w:cs="Times New Roman"/>
          <w:sz w:val="28"/>
          <w:szCs w:val="28"/>
          <w:lang w:val="ru-RU"/>
        </w:rPr>
        <w:t xml:space="preserve"> x </w:t>
      </w:r>
      <w:r>
        <w:rPr>
          <w:rFonts w:cs="Times New Roman"/>
          <w:bCs/>
          <w:sz w:val="28"/>
          <w:szCs w:val="28"/>
          <w:lang w:val="ru-RU"/>
        </w:rPr>
        <w:t xml:space="preserve">N</w:t>
      </w:r>
      <w:r>
        <w:rPr>
          <w:rFonts w:cs="Times New Roman"/>
          <w:sz w:val="28"/>
          <w:szCs w:val="28"/>
          <w:lang w:val="ru-RU"/>
        </w:rPr>
        <w:t xml:space="preserve"> x </w:t>
      </w:r>
      <w:r>
        <w:rPr>
          <w:rFonts w:cs="Times New Roman"/>
          <w:bCs/>
          <w:sz w:val="28"/>
          <w:szCs w:val="28"/>
          <w:lang w:val="ru-RU"/>
        </w:rPr>
        <w:t xml:space="preserve">Кн</w:t>
      </w:r>
      <w:r>
        <w:rPr>
          <w:rFonts w:cs="Times New Roman"/>
          <w:sz w:val="28"/>
          <w:szCs w:val="28"/>
          <w:lang w:val="ru-RU"/>
        </w:rPr>
        <w:t xml:space="preserve">) / 365 (м3/сутки)</w:t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P</w:t>
      </w:r>
      <w:r>
        <w:rPr>
          <w:rFonts w:cs="Times New Roman"/>
          <w:sz w:val="28"/>
          <w:szCs w:val="28"/>
          <w:lang w:val="ru-RU"/>
        </w:rPr>
        <w:t xml:space="preserve"> – количество жителей,</w:t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N</w:t>
      </w:r>
      <w:r>
        <w:rPr>
          <w:rFonts w:cs="Times New Roman"/>
          <w:sz w:val="28"/>
          <w:szCs w:val="28"/>
          <w:lang w:val="ru-RU"/>
        </w:rPr>
        <w:t xml:space="preserve"> – норма накопления мусора на 1 жителя в год:</w:t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Кн</w:t>
      </w:r>
      <w:r>
        <w:rPr>
          <w:rFonts w:cs="Times New Roman"/>
          <w:sz w:val="28"/>
          <w:szCs w:val="28"/>
          <w:lang w:val="ru-RU"/>
        </w:rPr>
        <w:t xml:space="preserve"> = 1,25 – коэффициент, учитывающий неравномерность накопления отходов.</w:t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365</w:t>
      </w:r>
      <w:r>
        <w:rPr>
          <w:rFonts w:cs="Times New Roman"/>
          <w:sz w:val="28"/>
          <w:szCs w:val="28"/>
          <w:lang w:val="ru-RU"/>
        </w:rPr>
        <w:t xml:space="preserve"> – число дней в году.</w:t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rPr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C</w:t>
      </w:r>
      <w:r>
        <w:rPr>
          <w:sz w:val="28"/>
          <w:szCs w:val="28"/>
        </w:rPr>
        <w:t xml:space="preserve"> = (</w:t>
      </w:r>
      <w:r>
        <w:rPr>
          <w:sz w:val="28"/>
          <w:szCs w:val="28"/>
          <w:lang w:val="ru-RU"/>
        </w:rPr>
        <w:t xml:space="preserve">58921</w:t>
      </w:r>
      <w:r>
        <w:rPr>
          <w:sz w:val="28"/>
          <w:szCs w:val="28"/>
        </w:rPr>
        <w:t xml:space="preserve"> х 2,51</w:t>
      </w:r>
      <w:r>
        <w:rPr>
          <w:sz w:val="28"/>
          <w:szCs w:val="28"/>
        </w:rPr>
        <w:t xml:space="preserve"> х 1,25) / 365 = </w:t>
      </w:r>
      <w:r>
        <w:rPr>
          <w:sz w:val="28"/>
          <w:szCs w:val="28"/>
          <w:lang w:val="ru-RU"/>
        </w:rPr>
        <w:t xml:space="preserve">1</w:t>
      </w:r>
      <w:r>
        <w:rPr>
          <w:sz w:val="28"/>
          <w:szCs w:val="28"/>
          <w:lang w:val="ru-RU"/>
        </w:rPr>
        <w:t xml:space="preserve">97571</w:t>
      </w:r>
      <w:r>
        <w:rPr>
          <w:sz w:val="28"/>
          <w:szCs w:val="28"/>
        </w:rPr>
        <w:t xml:space="preserve">,</w:t>
      </w:r>
      <w:r>
        <w:rPr>
          <w:sz w:val="28"/>
          <w:szCs w:val="28"/>
          <w:lang w:val="ru-RU"/>
        </w:rPr>
        <w:t xml:space="preserve">512</w:t>
      </w:r>
      <w:r>
        <w:rPr>
          <w:sz w:val="28"/>
          <w:szCs w:val="28"/>
        </w:rPr>
        <w:t xml:space="preserve"> / 365 = </w:t>
      </w:r>
      <w:r>
        <w:rPr>
          <w:sz w:val="28"/>
          <w:szCs w:val="28"/>
          <w:lang w:val="ru-RU"/>
        </w:rPr>
        <w:t xml:space="preserve">506</w:t>
      </w:r>
      <w:r>
        <w:rPr>
          <w:sz w:val="28"/>
          <w:szCs w:val="28"/>
        </w:rPr>
        <w:t xml:space="preserve">,</w:t>
      </w:r>
      <w:r>
        <w:rPr>
          <w:sz w:val="28"/>
          <w:szCs w:val="28"/>
          <w:lang w:val="ru-RU"/>
        </w:rPr>
        <w:t xml:space="preserve">47</w:t>
      </w:r>
      <w:r>
        <w:rPr>
          <w:sz w:val="28"/>
          <w:szCs w:val="28"/>
        </w:rPr>
        <w:t xml:space="preserve"> (м3/сутки)</w:t>
      </w:r>
      <w:r>
        <w:rPr>
          <w:sz w:val="28"/>
          <w:szCs w:val="28"/>
          <w:lang w:val="ru-RU"/>
        </w:rPr>
        <w:t xml:space="preserve">.</w:t>
      </w:r>
      <w:r>
        <w:rPr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Далее производится расчет числа контейнеров по формуле:</w:t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N</w:t>
      </w:r>
      <w:r>
        <w:rPr>
          <w:rFonts w:cs="Times New Roman"/>
          <w:sz w:val="28"/>
          <w:szCs w:val="28"/>
          <w:lang w:val="ru-RU"/>
        </w:rPr>
        <w:t xml:space="preserve">=(</w:t>
      </w:r>
      <w:r>
        <w:rPr>
          <w:rFonts w:cs="Times New Roman"/>
          <w:bCs/>
          <w:sz w:val="28"/>
          <w:szCs w:val="28"/>
          <w:lang w:val="ru-RU"/>
        </w:rPr>
        <w:t xml:space="preserve">C</w:t>
      </w:r>
      <w:r>
        <w:rPr>
          <w:rFonts w:cs="Times New Roman"/>
          <w:sz w:val="28"/>
          <w:szCs w:val="28"/>
          <w:lang w:val="ru-RU"/>
        </w:rPr>
        <w:t xml:space="preserve"> х </w:t>
      </w:r>
      <w:r>
        <w:rPr>
          <w:rFonts w:cs="Times New Roman"/>
          <w:bCs/>
          <w:sz w:val="28"/>
          <w:szCs w:val="28"/>
          <w:lang w:val="ru-RU"/>
        </w:rPr>
        <w:t xml:space="preserve">T</w:t>
      </w:r>
      <w:r>
        <w:rPr>
          <w:rFonts w:cs="Times New Roman"/>
          <w:sz w:val="28"/>
          <w:szCs w:val="28"/>
          <w:lang w:val="ru-RU"/>
        </w:rPr>
        <w:t xml:space="preserve"> х </w:t>
      </w:r>
      <w:r>
        <w:rPr>
          <w:rFonts w:cs="Times New Roman"/>
          <w:bCs/>
          <w:sz w:val="28"/>
          <w:szCs w:val="28"/>
          <w:lang w:val="ru-RU"/>
        </w:rPr>
        <w:t xml:space="preserve">Kp</w:t>
      </w:r>
      <w:r>
        <w:rPr>
          <w:rFonts w:cs="Times New Roman"/>
          <w:sz w:val="28"/>
          <w:szCs w:val="28"/>
          <w:lang w:val="ru-RU"/>
        </w:rPr>
        <w:t xml:space="preserve">) / (</w:t>
      </w:r>
      <w:r>
        <w:rPr>
          <w:rFonts w:cs="Times New Roman"/>
          <w:bCs/>
          <w:sz w:val="28"/>
          <w:szCs w:val="28"/>
          <w:lang w:val="ru-RU"/>
        </w:rPr>
        <w:t xml:space="preserve">V</w:t>
      </w:r>
      <w:r>
        <w:rPr>
          <w:rFonts w:cs="Times New Roman"/>
          <w:sz w:val="28"/>
          <w:szCs w:val="28"/>
          <w:lang w:val="ru-RU"/>
        </w:rPr>
        <w:t xml:space="preserve"> х </w:t>
      </w:r>
      <w:r>
        <w:rPr>
          <w:rFonts w:cs="Times New Roman"/>
          <w:bCs/>
          <w:sz w:val="28"/>
          <w:szCs w:val="28"/>
          <w:lang w:val="ru-RU"/>
        </w:rPr>
        <w:t xml:space="preserve">Кз</w:t>
      </w:r>
      <w:r>
        <w:rPr>
          <w:rFonts w:cs="Times New Roman"/>
          <w:sz w:val="28"/>
          <w:szCs w:val="28"/>
          <w:lang w:val="ru-RU"/>
        </w:rPr>
        <w:t xml:space="preserve">) (шт.)</w:t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C</w:t>
      </w:r>
      <w:r>
        <w:rPr>
          <w:rFonts w:cs="Times New Roman"/>
          <w:sz w:val="28"/>
          <w:szCs w:val="28"/>
          <w:lang w:val="ru-RU"/>
        </w:rPr>
        <w:t xml:space="preserve"> – суточное накопление ТБО.</w:t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V</w:t>
      </w:r>
      <w:r>
        <w:rPr>
          <w:rFonts w:cs="Times New Roman"/>
          <w:sz w:val="28"/>
          <w:szCs w:val="28"/>
          <w:lang w:val="ru-RU"/>
        </w:rPr>
        <w:t xml:space="preserve"> – объем выбранного контейнера.</w:t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Кз</w:t>
      </w:r>
      <w:r>
        <w:rPr>
          <w:rFonts w:cs="Times New Roman"/>
          <w:sz w:val="28"/>
          <w:szCs w:val="28"/>
          <w:lang w:val="ru-RU"/>
        </w:rPr>
        <w:t xml:space="preserve"> = 0,75 – коэффициент заполнения бака, предусматривающий наполнение его мусором только на ¾.</w:t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N</w:t>
      </w:r>
      <w:r>
        <w:rPr>
          <w:rFonts w:cs="Times New Roman"/>
          <w:sz w:val="28"/>
          <w:szCs w:val="28"/>
          <w:lang w:val="ru-RU"/>
        </w:rPr>
        <w:t xml:space="preserve"> - </w:t>
      </w:r>
      <w:r>
        <w:rPr>
          <w:rFonts w:cs="Times New Roman"/>
          <w:sz w:val="28"/>
          <w:szCs w:val="28"/>
          <w:lang w:val="ru-RU"/>
        </w:rPr>
        <w:t xml:space="preserve">506</w:t>
      </w:r>
      <w:r>
        <w:rPr>
          <w:rFonts w:cs="Times New Roman"/>
          <w:sz w:val="28"/>
          <w:szCs w:val="28"/>
          <w:lang w:val="ru-RU"/>
        </w:rPr>
        <w:t xml:space="preserve">,</w:t>
      </w:r>
      <w:r>
        <w:rPr>
          <w:rFonts w:cs="Times New Roman"/>
          <w:sz w:val="28"/>
          <w:szCs w:val="28"/>
          <w:lang w:val="ru-RU"/>
        </w:rPr>
        <w:t xml:space="preserve">47</w:t>
      </w:r>
      <w:r>
        <w:rPr>
          <w:rFonts w:cs="Times New Roman"/>
          <w:sz w:val="28"/>
          <w:szCs w:val="28"/>
          <w:lang w:val="ru-RU"/>
        </w:rPr>
        <w:t xml:space="preserve"> / (0.75 х 0,75) = </w:t>
      </w:r>
      <w:r>
        <w:rPr>
          <w:rFonts w:cs="Times New Roman"/>
          <w:sz w:val="28"/>
          <w:szCs w:val="28"/>
          <w:lang w:val="ru-RU"/>
        </w:rPr>
        <w:t xml:space="preserve">900</w:t>
      </w:r>
      <w:r>
        <w:rPr>
          <w:rFonts w:cs="Times New Roman"/>
          <w:sz w:val="28"/>
          <w:szCs w:val="28"/>
          <w:lang w:val="ru-RU"/>
        </w:rPr>
        <w:t xml:space="preserve">.</w:t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 w:line="200" w:lineRule="atLeast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Количество жителей на территории Ленинградского </w:t>
      </w:r>
      <w:r>
        <w:rPr>
          <w:rFonts w:cs="Times New Roman"/>
          <w:sz w:val="28"/>
          <w:szCs w:val="28"/>
          <w:lang w:val="ru-RU"/>
        </w:rPr>
        <w:t xml:space="preserve">муниципального округа</w:t>
      </w:r>
      <w:r>
        <w:rPr>
          <w:rFonts w:cs="Times New Roman"/>
          <w:sz w:val="28"/>
          <w:szCs w:val="28"/>
          <w:lang w:val="ru-RU"/>
        </w:rPr>
        <w:t xml:space="preserve"> составляет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58 921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человек.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Среднегодовая норма накопления ТКО на 1 человека утверждена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п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остановлением главы администрации (губернатора) Краснодарского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края от 17</w:t>
      </w:r>
      <w:r>
        <w:rPr>
          <w:rFonts w:cs="Times New Roman"/>
          <w:sz w:val="28"/>
          <w:szCs w:val="28"/>
          <w:lang w:val="ru-RU"/>
        </w:rPr>
        <w:t xml:space="preserve"> марта </w:t>
      </w:r>
      <w:r>
        <w:rPr>
          <w:rFonts w:cs="Times New Roman"/>
          <w:sz w:val="28"/>
          <w:szCs w:val="28"/>
          <w:lang w:val="ru-RU"/>
        </w:rPr>
        <w:t xml:space="preserve">2017 № 175 </w:t>
      </w:r>
      <w:r>
        <w:rPr>
          <w:rFonts w:cs="Times New Roman"/>
          <w:sz w:val="28"/>
          <w:szCs w:val="28"/>
          <w:lang w:val="ru-RU"/>
        </w:rPr>
        <w:t xml:space="preserve">«</w:t>
      </w:r>
      <w:r>
        <w:rPr>
          <w:rFonts w:cs="Times New Roman"/>
          <w:sz w:val="28"/>
          <w:szCs w:val="28"/>
          <w:lang w:val="ru-RU"/>
        </w:rPr>
        <w:t xml:space="preserve">Об утверждении нормативов накопления твердых коммунальных отходов в Краснодарском крае</w:t>
      </w:r>
      <w:r>
        <w:rPr>
          <w:rFonts w:cs="Times New Roman"/>
          <w:sz w:val="28"/>
          <w:szCs w:val="28"/>
          <w:lang w:val="ru-RU"/>
        </w:rPr>
        <w:t xml:space="preserve">»</w:t>
      </w:r>
      <w:r>
        <w:rPr>
          <w:rFonts w:cs="Times New Roman"/>
          <w:sz w:val="28"/>
          <w:szCs w:val="28"/>
          <w:lang w:val="ru-RU"/>
        </w:rPr>
        <w:t xml:space="preserve"> (</w:t>
      </w:r>
      <w:r>
        <w:rPr>
          <w:rFonts w:cs="Times New Roman"/>
          <w:sz w:val="28"/>
          <w:szCs w:val="28"/>
          <w:lang w:val="ru-RU"/>
        </w:rPr>
        <w:t xml:space="preserve">далее Постановление</w:t>
      </w:r>
      <w:r>
        <w:rPr>
          <w:rFonts w:cs="Times New Roman"/>
          <w:sz w:val="28"/>
          <w:szCs w:val="28"/>
          <w:lang w:val="ru-RU"/>
        </w:rPr>
        <w:t xml:space="preserve">).</w:t>
      </w:r>
      <w:r>
        <w:rPr>
          <w:rFonts w:cs="Times New Roman"/>
          <w:sz w:val="28"/>
          <w:szCs w:val="28"/>
          <w:lang w:val="ru-RU"/>
        </w:rPr>
        <w:t xml:space="preserve"> Во исполнение вышеуказанного Постановления </w:t>
      </w:r>
      <w:r>
        <w:rPr>
          <w:rFonts w:cs="Times New Roman"/>
          <w:sz w:val="28"/>
          <w:szCs w:val="28"/>
          <w:lang w:val="ru-RU"/>
        </w:rPr>
        <w:t xml:space="preserve">населенные пункты Ленинградского муниципального округа</w:t>
      </w:r>
      <w:r>
        <w:rPr>
          <w:rFonts w:cs="Times New Roman"/>
          <w:sz w:val="28"/>
          <w:szCs w:val="28"/>
          <w:lang w:val="ru-RU"/>
        </w:rPr>
        <w:t xml:space="preserve">, кроме </w:t>
      </w:r>
      <w:r>
        <w:rPr>
          <w:rFonts w:cs="Times New Roman"/>
          <w:sz w:val="28"/>
          <w:szCs w:val="28"/>
          <w:lang w:val="ru-RU"/>
        </w:rPr>
        <w:t xml:space="preserve">ст. </w:t>
      </w:r>
      <w:r>
        <w:rPr>
          <w:rFonts w:cs="Times New Roman"/>
          <w:sz w:val="28"/>
          <w:szCs w:val="28"/>
          <w:lang w:val="ru-RU"/>
        </w:rPr>
        <w:t xml:space="preserve">Ленинградско</w:t>
      </w:r>
      <w:r>
        <w:rPr>
          <w:rFonts w:cs="Times New Roman"/>
          <w:sz w:val="28"/>
          <w:szCs w:val="28"/>
          <w:lang w:val="ru-RU"/>
        </w:rPr>
        <w:t xml:space="preserve">й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отнесены к 5 категории, </w:t>
      </w:r>
      <w:r>
        <w:rPr>
          <w:rFonts w:cs="Times New Roman"/>
          <w:sz w:val="28"/>
          <w:szCs w:val="28"/>
          <w:lang w:val="ru-RU"/>
        </w:rPr>
        <w:t xml:space="preserve">ст. </w:t>
      </w:r>
      <w:r>
        <w:rPr>
          <w:rFonts w:cs="Times New Roman"/>
          <w:sz w:val="28"/>
          <w:szCs w:val="28"/>
          <w:lang w:val="ru-RU"/>
        </w:rPr>
        <w:t xml:space="preserve">Ленинградск</w:t>
      </w:r>
      <w:r>
        <w:rPr>
          <w:rFonts w:cs="Times New Roman"/>
          <w:sz w:val="28"/>
          <w:szCs w:val="28"/>
          <w:lang w:val="ru-RU"/>
        </w:rPr>
        <w:t xml:space="preserve">ая</w:t>
      </w:r>
      <w:r>
        <w:rPr>
          <w:rFonts w:cs="Times New Roman"/>
          <w:sz w:val="28"/>
          <w:szCs w:val="28"/>
          <w:lang w:val="ru-RU"/>
        </w:rPr>
        <w:t xml:space="preserve"> отнесен</w:t>
      </w:r>
      <w:r>
        <w:rPr>
          <w:rFonts w:cs="Times New Roman"/>
          <w:sz w:val="28"/>
          <w:szCs w:val="28"/>
          <w:lang w:val="ru-RU"/>
        </w:rPr>
        <w:t xml:space="preserve">а</w:t>
      </w:r>
      <w:r>
        <w:rPr>
          <w:rFonts w:cs="Times New Roman"/>
          <w:sz w:val="28"/>
          <w:szCs w:val="28"/>
          <w:lang w:val="ru-RU"/>
        </w:rPr>
        <w:t xml:space="preserve"> к 4 категории накопления. В каждой категории </w:t>
      </w:r>
      <w:r>
        <w:rPr>
          <w:rFonts w:cs="Times New Roman"/>
          <w:sz w:val="28"/>
          <w:szCs w:val="28"/>
          <w:lang w:val="ru-RU"/>
        </w:rPr>
        <w:t xml:space="preserve">есть соответственно норматив накопления для многоквартирных индивидуальных жилых домов. По состоянию на 1 </w:t>
      </w:r>
      <w:r>
        <w:rPr>
          <w:rFonts w:cs="Times New Roman"/>
          <w:sz w:val="28"/>
          <w:szCs w:val="28"/>
          <w:lang w:val="ru-RU"/>
        </w:rPr>
        <w:t xml:space="preserve">января</w:t>
      </w:r>
      <w:r>
        <w:rPr>
          <w:rFonts w:cs="Times New Roman"/>
          <w:sz w:val="28"/>
          <w:szCs w:val="28"/>
          <w:lang w:val="ru-RU"/>
        </w:rPr>
        <w:t xml:space="preserve"> 202</w:t>
      </w:r>
      <w:r>
        <w:rPr>
          <w:rFonts w:cs="Times New Roman"/>
          <w:sz w:val="28"/>
          <w:szCs w:val="28"/>
          <w:lang w:val="ru-RU"/>
        </w:rPr>
        <w:t xml:space="preserve">5</w:t>
      </w:r>
      <w:r>
        <w:rPr>
          <w:rFonts w:cs="Times New Roman"/>
          <w:sz w:val="28"/>
          <w:szCs w:val="28"/>
          <w:lang w:val="ru-RU"/>
        </w:rPr>
        <w:t xml:space="preserve"> г.</w:t>
      </w:r>
      <w:r>
        <w:rPr>
          <w:rFonts w:cs="Times New Roman"/>
          <w:sz w:val="28"/>
          <w:szCs w:val="28"/>
          <w:lang w:val="ru-RU"/>
        </w:rPr>
        <w:t xml:space="preserve"> для четвертой категории он составляет 2,4 м3 и 3,02 м3 ТКО в год на человека. Для пятой категории он составляет 2,24 м3 и 2,34 м3 ТКО в года на человека. Средний норматив накопления по всему </w:t>
      </w:r>
      <w:r>
        <w:rPr>
          <w:rFonts w:cs="Times New Roman"/>
          <w:sz w:val="28"/>
          <w:szCs w:val="28"/>
          <w:lang w:val="ru-RU"/>
        </w:rPr>
        <w:t xml:space="preserve">Ленинградскому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муниципальному округу</w:t>
      </w:r>
      <w:r>
        <w:rPr>
          <w:rFonts w:cs="Times New Roman"/>
          <w:sz w:val="28"/>
          <w:szCs w:val="28"/>
          <w:lang w:val="ru-RU"/>
        </w:rPr>
        <w:t xml:space="preserve"> составляет 2,51м3 ТКО в год на человека. </w:t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Исходя из вышеуказанной формулы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-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потребность количества контейнеров для складирования твердых коммунальных отходов на территории Ленинградского </w:t>
      </w:r>
      <w:r>
        <w:rPr>
          <w:rFonts w:cs="Times New Roman"/>
          <w:sz w:val="28"/>
          <w:szCs w:val="28"/>
          <w:lang w:val="ru-RU"/>
        </w:rPr>
        <w:t xml:space="preserve">муниципального округа</w:t>
      </w:r>
      <w:r>
        <w:rPr>
          <w:rFonts w:cs="Times New Roman"/>
          <w:sz w:val="28"/>
          <w:szCs w:val="28"/>
          <w:lang w:val="ru-RU"/>
        </w:rPr>
        <w:t xml:space="preserve"> составляет </w:t>
      </w:r>
      <w:r>
        <w:rPr>
          <w:rFonts w:cs="Times New Roman"/>
          <w:sz w:val="28"/>
          <w:szCs w:val="28"/>
          <w:lang w:val="ru-RU"/>
        </w:rPr>
        <w:t xml:space="preserve">900</w:t>
      </w:r>
      <w:r>
        <w:rPr>
          <w:rFonts w:cs="Times New Roman"/>
          <w:sz w:val="28"/>
          <w:szCs w:val="28"/>
          <w:lang w:val="ru-RU"/>
        </w:rPr>
        <w:t xml:space="preserve"> контейнеров</w:t>
      </w:r>
      <w:r>
        <w:rPr>
          <w:rFonts w:cs="Times New Roman"/>
          <w:sz w:val="28"/>
          <w:szCs w:val="28"/>
          <w:lang w:val="ru-RU"/>
        </w:rPr>
        <w:t xml:space="preserve">. </w:t>
      </w:r>
      <w:r>
        <w:rPr>
          <w:rFonts w:cs="Times New Roman"/>
          <w:sz w:val="28"/>
          <w:szCs w:val="28"/>
          <w:lang w:val="ru-RU"/>
        </w:rPr>
        <w:t xml:space="preserve">В настоящее время количество баков, установленных на территории Ленинградского </w:t>
      </w:r>
      <w:r>
        <w:rPr>
          <w:rFonts w:cs="Times New Roman"/>
          <w:sz w:val="28"/>
          <w:szCs w:val="28"/>
          <w:lang w:val="ru-RU"/>
        </w:rPr>
        <w:t xml:space="preserve">муниципального округа </w:t>
      </w:r>
      <w:r>
        <w:rPr>
          <w:rFonts w:cs="Times New Roman"/>
          <w:sz w:val="28"/>
          <w:szCs w:val="28"/>
          <w:lang w:val="ru-RU"/>
        </w:rPr>
        <w:t xml:space="preserve">составляет </w:t>
      </w:r>
      <w:r>
        <w:rPr>
          <w:rFonts w:cs="Times New Roman"/>
          <w:sz w:val="28"/>
          <w:szCs w:val="28"/>
          <w:lang w:val="ru-RU"/>
        </w:rPr>
        <w:t xml:space="preserve">1534</w:t>
      </w:r>
      <w:r>
        <w:rPr>
          <w:rFonts w:cs="Times New Roman"/>
          <w:sz w:val="28"/>
          <w:szCs w:val="28"/>
          <w:lang w:val="ru-RU"/>
        </w:rPr>
        <w:t xml:space="preserve"> штук. Соответственно для удовлетворения потребности в количестве баков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необходимо приобрести </w:t>
      </w:r>
      <w:r>
        <w:rPr>
          <w:rFonts w:cs="Times New Roman"/>
          <w:sz w:val="28"/>
          <w:szCs w:val="28"/>
          <w:lang w:val="ru-RU"/>
        </w:rPr>
        <w:t xml:space="preserve">500</w:t>
      </w:r>
      <w:r>
        <w:rPr>
          <w:rFonts w:cs="Times New Roman"/>
          <w:sz w:val="28"/>
          <w:szCs w:val="28"/>
          <w:lang w:val="ru-RU"/>
        </w:rPr>
        <w:t xml:space="preserve"> контейнеров и бункеров для складирования крупногабаритных отходов</w:t>
      </w:r>
      <w:r>
        <w:rPr>
          <w:rFonts w:cs="Times New Roman"/>
          <w:sz w:val="28"/>
          <w:szCs w:val="28"/>
          <w:lang w:val="ru-RU"/>
        </w:rPr>
        <w:t xml:space="preserve"> с учетом того, что </w:t>
      </w:r>
      <w:r>
        <w:rPr>
          <w:rFonts w:cs="Times New Roman"/>
          <w:sz w:val="28"/>
          <w:szCs w:val="28"/>
          <w:lang w:val="ru-RU"/>
        </w:rPr>
        <w:t xml:space="preserve">что </w:t>
      </w:r>
      <w:r>
        <w:rPr>
          <w:rFonts w:cs="Times New Roman"/>
          <w:sz w:val="28"/>
          <w:szCs w:val="28"/>
          <w:lang w:val="ru-RU"/>
        </w:rPr>
        <w:t xml:space="preserve">средний </w:t>
      </w:r>
      <w:r>
        <w:rPr>
          <w:rFonts w:cs="Times New Roman"/>
          <w:sz w:val="28"/>
          <w:szCs w:val="28"/>
          <w:lang w:val="ru-RU"/>
        </w:rPr>
        <w:t xml:space="preserve">срок службы </w:t>
      </w:r>
      <w:r>
        <w:rPr>
          <w:rFonts w:cs="Times New Roman"/>
          <w:sz w:val="28"/>
          <w:szCs w:val="28"/>
          <w:lang w:val="ru-RU"/>
        </w:rPr>
        <w:t xml:space="preserve">металлического </w:t>
      </w:r>
      <w:r>
        <w:rPr>
          <w:rFonts w:cs="Times New Roman"/>
          <w:sz w:val="28"/>
          <w:szCs w:val="28"/>
          <w:lang w:val="ru-RU"/>
        </w:rPr>
        <w:t xml:space="preserve">контейнерного бака для сбора</w:t>
      </w:r>
      <w:r>
        <w:rPr>
          <w:rFonts w:cs="Times New Roman"/>
          <w:sz w:val="28"/>
          <w:szCs w:val="28"/>
          <w:lang w:val="ru-RU"/>
        </w:rPr>
        <w:t xml:space="preserve"> ТКО составляет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2</w:t>
      </w:r>
      <w:r>
        <w:rPr>
          <w:rFonts w:cs="Times New Roman"/>
          <w:sz w:val="28"/>
          <w:szCs w:val="28"/>
          <w:lang w:val="ru-RU"/>
        </w:rPr>
        <w:t xml:space="preserve"> года, </w:t>
      </w:r>
      <w:r>
        <w:rPr>
          <w:rFonts w:cs="Times New Roman"/>
          <w:sz w:val="28"/>
          <w:szCs w:val="28"/>
          <w:lang w:val="ru-RU"/>
        </w:rPr>
        <w:t xml:space="preserve">пластмассового – </w:t>
      </w:r>
      <w:r>
        <w:rPr>
          <w:rFonts w:cs="Times New Roman"/>
          <w:sz w:val="28"/>
          <w:szCs w:val="28"/>
          <w:lang w:val="ru-RU"/>
        </w:rPr>
        <w:t xml:space="preserve">4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года</w:t>
      </w:r>
      <w:r>
        <w:rPr>
          <w:rFonts w:cs="Times New Roman"/>
          <w:sz w:val="28"/>
          <w:szCs w:val="28"/>
          <w:lang w:val="ru-RU"/>
        </w:rPr>
        <w:t xml:space="preserve">. </w:t>
      </w:r>
      <w:r>
        <w:rPr>
          <w:rFonts w:cs="Times New Roman"/>
          <w:sz w:val="28"/>
          <w:szCs w:val="28"/>
          <w:lang w:val="ru-RU"/>
        </w:rPr>
        <w:t xml:space="preserve">Для оперативной замены баков,</w:t>
      </w:r>
      <w:r>
        <w:rPr>
          <w:rFonts w:cs="Times New Roman"/>
          <w:sz w:val="28"/>
          <w:szCs w:val="28"/>
          <w:lang w:val="ru-RU"/>
        </w:rPr>
        <w:t xml:space="preserve"> требующих текущего ремонта и</w:t>
      </w:r>
      <w:r>
        <w:rPr>
          <w:rFonts w:cs="Times New Roman"/>
          <w:sz w:val="28"/>
          <w:szCs w:val="28"/>
          <w:lang w:val="ru-RU"/>
        </w:rPr>
        <w:t xml:space="preserve"> пришедших в негодность необходимо иметь ремонтный запас баков не менее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500</w:t>
      </w:r>
      <w:r>
        <w:rPr>
          <w:rFonts w:cs="Times New Roman"/>
          <w:sz w:val="28"/>
          <w:szCs w:val="28"/>
          <w:lang w:val="ru-RU"/>
        </w:rPr>
        <w:t xml:space="preserve"> штук. </w:t>
      </w:r>
      <w:r>
        <w:rPr>
          <w:rFonts w:cs="Times New Roman"/>
          <w:sz w:val="28"/>
          <w:szCs w:val="28"/>
          <w:lang w:val="ru-RU"/>
        </w:rPr>
        <w:t xml:space="preserve">Всего необходимо закупить </w:t>
      </w:r>
      <w:r>
        <w:rPr>
          <w:rFonts w:cs="Times New Roman"/>
          <w:sz w:val="28"/>
          <w:szCs w:val="28"/>
          <w:lang w:val="ru-RU"/>
        </w:rPr>
        <w:t xml:space="preserve">1000</w:t>
      </w:r>
      <w:r>
        <w:rPr>
          <w:rFonts w:cs="Times New Roman"/>
          <w:sz w:val="28"/>
          <w:szCs w:val="28"/>
          <w:lang w:val="ru-RU"/>
        </w:rPr>
        <w:t xml:space="preserve"> штук.</w:t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8"/>
        <w:ind w:firstLine="709"/>
        <w:jc w:val="both"/>
        <w:spacing w:after="0"/>
        <w:tabs>
          <w:tab w:val="left" w:pos="4020" w:leader="none"/>
        </w:tabs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В части </w:t>
      </w:r>
      <w:r>
        <w:rPr>
          <w:rFonts w:cs="Times New Roman"/>
          <w:sz w:val="28"/>
          <w:szCs w:val="28"/>
          <w:lang w:val="ru-RU"/>
        </w:rPr>
        <w:t xml:space="preserve">п</w:t>
      </w:r>
      <w:r>
        <w:rPr>
          <w:rFonts w:cs="Times New Roman"/>
          <w:sz w:val="28"/>
          <w:szCs w:val="28"/>
          <w:lang w:val="ru-RU"/>
        </w:rPr>
        <w:t xml:space="preserve">овышения</w:t>
      </w:r>
      <w:r>
        <w:rPr>
          <w:rFonts w:cs="Times New Roman"/>
          <w:sz w:val="28"/>
          <w:szCs w:val="28"/>
          <w:lang w:val="ru-RU"/>
        </w:rPr>
        <w:t xml:space="preserve"> уровня экологического воспитания и экологической культуры населения</w:t>
      </w:r>
      <w:r>
        <w:rPr>
          <w:rFonts w:cs="Times New Roman"/>
          <w:sz w:val="28"/>
          <w:szCs w:val="28"/>
          <w:lang w:val="ru-RU"/>
        </w:rPr>
        <w:t xml:space="preserve"> планируется приобретение контейнеров (эко-боксов) для сбора отработанных элементов питания.</w:t>
      </w:r>
      <w:r>
        <w:rPr>
          <w:rFonts w:cs="Times New Roman"/>
          <w:sz w:val="28"/>
          <w:szCs w:val="28"/>
          <w:lang w:val="ru-RU"/>
        </w:rPr>
        <w:t xml:space="preserve"> Отработанных </w:t>
      </w:r>
      <w:r>
        <w:rPr>
          <w:rFonts w:cs="Times New Roman"/>
          <w:sz w:val="28"/>
          <w:szCs w:val="28"/>
          <w:lang w:val="ru-RU"/>
        </w:rPr>
        <w:t xml:space="preserve">люмине</w:t>
      </w:r>
      <w:r>
        <w:rPr>
          <w:rFonts w:cs="Times New Roman"/>
          <w:sz w:val="28"/>
          <w:szCs w:val="28"/>
          <w:lang w:val="ru-RU"/>
        </w:rPr>
        <w:t xml:space="preserve">сцентных и энергосберегающих ламп. </w:t>
      </w:r>
      <w:r>
        <w:rPr>
          <w:rFonts w:cs="Times New Roman"/>
          <w:sz w:val="28"/>
          <w:szCs w:val="28"/>
          <w:lang w:val="ru-RU"/>
        </w:rPr>
        <w:t xml:space="preserve"> Так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же предусмотрено заключение договора с профильной организацией на вывоз и утилизацию отработанных элементов питания. </w:t>
      </w:r>
      <w:r>
        <w:rPr>
          <w:rFonts w:cs="Times New Roman"/>
          <w:sz w:val="28"/>
          <w:szCs w:val="28"/>
          <w:lang w:val="ru-RU"/>
        </w:rPr>
      </w:r>
    </w:p>
    <w:p>
      <w:pPr>
        <w:pStyle w:val="718"/>
        <w:ind w:firstLine="709"/>
        <w:jc w:val="both"/>
        <w:widowControl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приказом министерства топли</w:t>
      </w:r>
      <w:r>
        <w:rPr>
          <w:rFonts w:eastAsia="Calibri"/>
          <w:sz w:val="28"/>
          <w:szCs w:val="28"/>
          <w:lang w:eastAsia="en-US"/>
        </w:rPr>
        <w:t xml:space="preserve">вно-энергетического комплекса</w:t>
      </w:r>
      <w:r>
        <w:rPr>
          <w:rFonts w:eastAsia="Calibri"/>
          <w:sz w:val="28"/>
          <w:szCs w:val="28"/>
          <w:lang w:eastAsia="en-US"/>
        </w:rPr>
        <w:t xml:space="preserve"> и жилищно-коммунального хозяйства Краснодарского края от </w:t>
      </w:r>
      <w:r>
        <w:rPr>
          <w:rFonts w:eastAsia="Calibri"/>
          <w:sz w:val="28"/>
          <w:szCs w:val="28"/>
          <w:lang w:eastAsia="en-US"/>
        </w:rPr>
        <w:t xml:space="preserve">11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сентября</w:t>
      </w:r>
      <w:r>
        <w:rPr>
          <w:rFonts w:eastAsia="Calibri"/>
          <w:sz w:val="28"/>
          <w:szCs w:val="28"/>
          <w:lang w:eastAsia="en-US"/>
        </w:rPr>
        <w:t xml:space="preserve"> 20</w:t>
      </w:r>
      <w:r>
        <w:rPr>
          <w:rFonts w:eastAsia="Calibri"/>
          <w:sz w:val="28"/>
          <w:szCs w:val="28"/>
          <w:lang w:eastAsia="en-US"/>
        </w:rPr>
        <w:t xml:space="preserve">24</w:t>
      </w:r>
      <w:r>
        <w:rPr>
          <w:rFonts w:eastAsia="Calibri"/>
          <w:sz w:val="28"/>
          <w:szCs w:val="28"/>
          <w:lang w:eastAsia="en-US"/>
        </w:rPr>
        <w:t xml:space="preserve"> г. № </w:t>
      </w:r>
      <w:r>
        <w:rPr>
          <w:rFonts w:eastAsia="Calibri"/>
          <w:sz w:val="28"/>
          <w:szCs w:val="28"/>
          <w:lang w:eastAsia="en-US"/>
        </w:rPr>
        <w:t xml:space="preserve">728</w:t>
      </w:r>
      <w:r>
        <w:rPr>
          <w:rFonts w:eastAsia="Calibri"/>
          <w:sz w:val="28"/>
          <w:szCs w:val="28"/>
          <w:lang w:eastAsia="en-US"/>
        </w:rPr>
        <w:t xml:space="preserve"> обществу с ограниченной ответственностью «</w:t>
      </w:r>
      <w:r>
        <w:rPr>
          <w:rFonts w:eastAsia="Calibri"/>
          <w:sz w:val="28"/>
          <w:szCs w:val="28"/>
          <w:lang w:eastAsia="en-US"/>
        </w:rPr>
        <w:t xml:space="preserve">ЭкоЮг</w:t>
      </w:r>
      <w:r>
        <w:rPr>
          <w:rFonts w:eastAsia="Calibri"/>
          <w:sz w:val="28"/>
          <w:szCs w:val="28"/>
          <w:lang w:eastAsia="en-US"/>
        </w:rPr>
        <w:t xml:space="preserve">» присвоен статус регионального оператора по обращению с твердыми коммунальными отходами п</w:t>
      </w:r>
      <w:r>
        <w:rPr>
          <w:rFonts w:eastAsia="Calibri"/>
          <w:sz w:val="28"/>
          <w:szCs w:val="28"/>
          <w:lang w:eastAsia="en-US"/>
        </w:rPr>
        <w:t xml:space="preserve">о Староминской зоне, в которую в</w:t>
      </w:r>
      <w:r>
        <w:rPr>
          <w:rFonts w:eastAsia="Calibri"/>
          <w:sz w:val="28"/>
          <w:szCs w:val="28"/>
          <w:lang w:eastAsia="en-US"/>
        </w:rPr>
        <w:t xml:space="preserve">ходит Ленинградский </w:t>
      </w:r>
      <w:r>
        <w:rPr>
          <w:rFonts w:eastAsia="Calibri"/>
          <w:sz w:val="28"/>
          <w:szCs w:val="28"/>
          <w:lang w:eastAsia="en-US"/>
        </w:rPr>
        <w:t xml:space="preserve">муниципальный округ</w:t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718"/>
        <w:ind w:firstLine="709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организации</w:t>
      </w:r>
      <w:r>
        <w:rPr>
          <w:sz w:val="28"/>
          <w:szCs w:val="28"/>
        </w:rPr>
        <w:t xml:space="preserve"> системы сбора и вывоза ТКО ежегодно уменьшается количество стихийных свалок в лесополосах и на полях, вдоль дорог.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ind w:firstLine="709"/>
        <w:jc w:val="both"/>
        <w:tabs>
          <w:tab w:val="left" w:pos="709" w:leader="none"/>
        </w:tabs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>
        <w:rPr>
          <w:b/>
          <w:sz w:val="28"/>
          <w:szCs w:val="28"/>
          <w:highlight w:val="yellow"/>
        </w:rPr>
      </w:r>
    </w:p>
    <w:p>
      <w:pPr>
        <w:pStyle w:val="718"/>
        <w:jc w:val="center"/>
        <w:shd w:val="clear" w:color="auto" w:fill="ffffff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2. Основные цели, задачи, сроки и этапы реализации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18"/>
        <w:jc w:val="center"/>
        <w:shd w:val="clear" w:color="auto" w:fill="ffffff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муниципальной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18"/>
        <w:jc w:val="center"/>
        <w:shd w:val="clear" w:color="auto" w:fill="ffffff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pStyle w:val="71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</w:t>
      </w:r>
      <w:r>
        <w:rPr>
          <w:sz w:val="28"/>
          <w:szCs w:val="28"/>
        </w:rPr>
        <w:t xml:space="preserve">ел</w:t>
      </w:r>
      <w:r>
        <w:rPr>
          <w:sz w:val="28"/>
          <w:szCs w:val="28"/>
        </w:rPr>
        <w:t xml:space="preserve">ью программы является </w:t>
      </w:r>
      <w:r>
        <w:rPr>
          <w:sz w:val="28"/>
          <w:szCs w:val="28"/>
        </w:rPr>
        <w:t xml:space="preserve">создание и развитие комплексной эффективной системы обращения с твердыми коммунальными отходами на территории </w:t>
      </w:r>
      <w:r>
        <w:rPr>
          <w:sz w:val="28"/>
          <w:szCs w:val="28"/>
        </w:rPr>
        <w:t xml:space="preserve">Ленинградского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, предусматривающей снижение негативного воздействия твердых коммунальных отходов на население и окружающую среду, создание условий для приведение инфраструктуры в области обращения с твердыми коммунальными отходами в</w:t>
      </w:r>
      <w:r>
        <w:rPr>
          <w:sz w:val="28"/>
          <w:szCs w:val="28"/>
        </w:rPr>
        <w:t xml:space="preserve"> соответствие с нормами действующего </w:t>
      </w:r>
      <w:r>
        <w:rPr>
          <w:sz w:val="28"/>
          <w:szCs w:val="28"/>
        </w:rPr>
        <w:t xml:space="preserve"> законодательства, улучшение санитарной и эпидемиологической безопасности населения, соблюдения законодательства в области охраны окружающей среды, а также обеспечения с</w:t>
      </w:r>
      <w:r>
        <w:rPr>
          <w:sz w:val="28"/>
          <w:szCs w:val="28"/>
        </w:rPr>
        <w:t xml:space="preserve">воевременного сбора и вывоза ТКО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71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>
        <w:rPr>
          <w:sz w:val="28"/>
          <w:szCs w:val="28"/>
        </w:rPr>
        <w:t xml:space="preserve">муниципальной программы являются: </w:t>
      </w:r>
      <w:r>
        <w:rPr>
          <w:sz w:val="28"/>
          <w:szCs w:val="28"/>
        </w:rPr>
      </w:r>
    </w:p>
    <w:p>
      <w:pPr>
        <w:pStyle w:val="71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создание и содержание мест 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лицах;</w:t>
      </w:r>
      <w:r>
        <w:rPr>
          <w:sz w:val="28"/>
          <w:szCs w:val="28"/>
        </w:rPr>
      </w:r>
    </w:p>
    <w:p>
      <w:pPr>
        <w:pStyle w:val="71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определение схемы размещения мест (площадок) накопления твердых коммунальных отходов и ведение реестра мест (площадок) накопления твердых коммунальных отходов;</w:t>
      </w:r>
      <w:r>
        <w:rPr>
          <w:sz w:val="28"/>
          <w:szCs w:val="28"/>
        </w:rPr>
      </w:r>
    </w:p>
    <w:p>
      <w:pPr>
        <w:pStyle w:val="71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организация экологического воспитания и формирования экологической культуры в области обращения с твердыми коммунальными отходами.</w:t>
      </w:r>
      <w:r>
        <w:rPr>
          <w:sz w:val="28"/>
          <w:szCs w:val="28"/>
        </w:rPr>
      </w:r>
    </w:p>
    <w:p>
      <w:pPr>
        <w:pStyle w:val="71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реализации программы: период </w:t>
      </w:r>
      <w:r>
        <w:rPr>
          <w:sz w:val="28"/>
          <w:szCs w:val="28"/>
        </w:rPr>
        <w:t xml:space="preserve">с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202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71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</w:t>
      </w:r>
      <w:r>
        <w:rPr>
          <w:sz w:val="28"/>
          <w:szCs w:val="28"/>
        </w:rPr>
        <w:t xml:space="preserve">елевые показатели муниципальной программы приведены в прилож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нии 1.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44"/>
        <w:ind w:firstLine="709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4"/>
        <w:jc w:val="center"/>
        <w:rPr>
          <w:rFonts w:ascii="Times New Roman" w:hAnsi="Times New Roman" w:cs="Times New Roman"/>
          <w:b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Перечень и к</w:t>
      </w:r>
      <w:r>
        <w:rPr>
          <w:rFonts w:ascii="Times New Roman" w:hAnsi="Times New Roman" w:cs="Times New Roman"/>
          <w:b/>
          <w:sz w:val="28"/>
          <w:szCs w:val="28"/>
        </w:rPr>
        <w:t xml:space="preserve">раткое описание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основных мероприятий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8"/>
        <w:ind w:left="7" w:right="7" w:firstLine="709"/>
        <w:jc w:val="both"/>
        <w:spacing w:before="14" w:line="324" w:lineRule="exact"/>
        <w:shd w:val="clear" w:color="auto" w:fill="ffffff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Перечень основных мероприятий муниципальной прог</w:t>
      </w:r>
      <w:r>
        <w:rPr>
          <w:spacing w:val="-1"/>
          <w:sz w:val="28"/>
          <w:szCs w:val="28"/>
        </w:rPr>
        <w:t xml:space="preserve">раммы приведен в Приложении 2 к программе.</w:t>
      </w:r>
      <w:r>
        <w:rPr>
          <w:spacing w:val="-1"/>
          <w:sz w:val="28"/>
          <w:szCs w:val="28"/>
        </w:rPr>
      </w:r>
      <w:r>
        <w:rPr>
          <w:spacing w:val="-1"/>
          <w:sz w:val="28"/>
          <w:szCs w:val="28"/>
        </w:rPr>
      </w:r>
    </w:p>
    <w:p>
      <w:pPr>
        <w:pStyle w:val="71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разработки проектной документации объемы и стоимость мероприятий могут быть скорректированы.</w:t>
      </w:r>
      <w:r>
        <w:rPr>
          <w:sz w:val="28"/>
          <w:szCs w:val="28"/>
        </w:rPr>
      </w:r>
    </w:p>
    <w:p>
      <w:pPr>
        <w:pStyle w:val="718"/>
        <w:ind w:firstLine="709"/>
        <w:jc w:val="center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pStyle w:val="7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Обоснование ресурсного обеспечения муниципальной программы</w:t>
      </w:r>
      <w:r>
        <w:rPr>
          <w:b/>
          <w:sz w:val="28"/>
          <w:szCs w:val="28"/>
        </w:rPr>
      </w:r>
    </w:p>
    <w:p>
      <w:pPr>
        <w:pStyle w:val="718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расчетах потребности средств по статьям </w:t>
      </w:r>
      <w:r>
        <w:rPr>
          <w:rFonts w:ascii="Times New Roman" w:hAnsi="Times New Roman" w:cs="Times New Roman"/>
          <w:sz w:val="28"/>
          <w:szCs w:val="28"/>
        </w:rPr>
        <w:t xml:space="preserve">обустройства</w:t>
      </w:r>
      <w:r>
        <w:rPr>
          <w:rFonts w:ascii="Times New Roman" w:hAnsi="Times New Roman" w:cs="Times New Roman"/>
          <w:sz w:val="28"/>
          <w:szCs w:val="28"/>
        </w:rPr>
        <w:t xml:space="preserve"> специализированных площадок для установки контейнеров для сбора ТКО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риобретения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муниципальную собственность контейнеров для складирования твердых коммунальных отходов </w:t>
      </w:r>
      <w:r>
        <w:rPr>
          <w:rFonts w:ascii="Times New Roman" w:hAnsi="Times New Roman" w:cs="Times New Roman"/>
          <w:sz w:val="28"/>
          <w:szCs w:val="28"/>
        </w:rPr>
        <w:t xml:space="preserve">применяется </w:t>
      </w:r>
      <w:r>
        <w:rPr>
          <w:rFonts w:ascii="Times New Roman" w:hAnsi="Times New Roman" w:cs="Times New Roman"/>
          <w:sz w:val="28"/>
          <w:szCs w:val="28"/>
        </w:rPr>
        <w:t xml:space="preserve">коэффициент темпов роста </w:t>
      </w:r>
      <w:r>
        <w:rPr>
          <w:rFonts w:ascii="Times New Roman" w:hAnsi="Times New Roman" w:cs="Times New Roman"/>
          <w:sz w:val="28"/>
          <w:szCs w:val="28"/>
        </w:rPr>
        <w:t xml:space="preserve">инфляции,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размещенный на официальном ресурсе Всероссийской службы статистики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</w:instrText>
      </w:r>
      <w:r>
        <w:rPr>
          <w:rFonts w:ascii="Times New Roman" w:hAnsi="Times New Roman" w:cs="Times New Roman"/>
          <w:sz w:val="28"/>
          <w:szCs w:val="28"/>
        </w:rPr>
        <w:instrText xml:space="preserve">https://rosinfostat.ru</w:instrText>
      </w:r>
      <w:r>
        <w:rPr>
          <w:rFonts w:ascii="Times New Roman" w:hAnsi="Times New Roman" w:cs="Times New Roman"/>
          <w:sz w:val="28"/>
          <w:szCs w:val="28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Style w:val="770"/>
          <w:rFonts w:ascii="Times New Roman" w:hAnsi="Times New Roman" w:cs="Times New Roman"/>
          <w:sz w:val="28"/>
          <w:szCs w:val="28"/>
        </w:rPr>
        <w:t xml:space="preserve">https://rosinfostat.ru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 инфляции в таблице по годам: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</w:t>
        <w:tab/>
        <w:t xml:space="preserve">Прогноз</w:t>
        <w:tab/>
        <w:t xml:space="preserve">Макс</w:t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Мин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ab/>
        <w:t xml:space="preserve">4.2%</w:t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4.95%</w:t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3.45%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026</w:t>
      </w:r>
      <w:r>
        <w:rPr>
          <w:rFonts w:ascii="Times New Roman" w:hAnsi="Times New Roman" w:cs="Times New Roman"/>
          <w:sz w:val="28"/>
          <w:szCs w:val="28"/>
        </w:rPr>
        <w:tab/>
        <w:t xml:space="preserve">4.0%</w:t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4.75%</w:t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3.25%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</w:t>
      </w:r>
      <w:r>
        <w:rPr>
          <w:rFonts w:ascii="Times New Roman" w:hAnsi="Times New Roman" w:cs="Times New Roman"/>
          <w:sz w:val="28"/>
          <w:szCs w:val="28"/>
        </w:rPr>
        <w:tab/>
        <w:t xml:space="preserve">3.8%</w:t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4.18%</w:t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3.43%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</w:t>
      </w:r>
      <w:r>
        <w:rPr>
          <w:rFonts w:ascii="Times New Roman" w:hAnsi="Times New Roman" w:cs="Times New Roman"/>
          <w:sz w:val="28"/>
          <w:szCs w:val="28"/>
        </w:rPr>
        <w:tab/>
        <w:t xml:space="preserve">3.7%</w:t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4.08%</w:t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3.33%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2029</w:t>
      </w:r>
      <w:r>
        <w:rPr>
          <w:rFonts w:ascii="Times New Roman" w:hAnsi="Times New Roman" w:cs="Times New Roman"/>
          <w:sz w:val="28"/>
          <w:szCs w:val="28"/>
        </w:rPr>
        <w:tab/>
        <w:t xml:space="preserve">3.5%</w:t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3.88%</w:t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3.13%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6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Программы финансирование предполагается за счет средств местного бюджета в размере </w:t>
      </w:r>
      <w:r>
        <w:rPr>
          <w:bCs/>
          <w:sz w:val="28"/>
          <w:szCs w:val="28"/>
          <w:lang w:val="ru-RU"/>
        </w:rPr>
        <w:t xml:space="preserve">10900</w:t>
      </w:r>
      <w:r>
        <w:rPr>
          <w:bCs/>
          <w:sz w:val="28"/>
          <w:szCs w:val="28"/>
          <w:lang w:val="ru-RU"/>
        </w:rPr>
        <w:t xml:space="preserve">,00</w:t>
      </w:r>
      <w:r>
        <w:rPr>
          <w:bCs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тыс. рублей на 202</w:t>
      </w:r>
      <w:r>
        <w:rPr>
          <w:sz w:val="28"/>
          <w:szCs w:val="28"/>
          <w:lang w:val="ru-RU"/>
        </w:rPr>
        <w:t xml:space="preserve">5</w:t>
      </w:r>
      <w:r>
        <w:rPr>
          <w:sz w:val="28"/>
          <w:szCs w:val="28"/>
        </w:rPr>
        <w:t xml:space="preserve">-202</w:t>
      </w:r>
      <w:r>
        <w:rPr>
          <w:sz w:val="28"/>
          <w:szCs w:val="28"/>
          <w:lang w:val="ru-RU"/>
        </w:rPr>
        <w:t xml:space="preserve">9</w:t>
      </w:r>
      <w:r>
        <w:rPr>
          <w:sz w:val="28"/>
          <w:szCs w:val="28"/>
        </w:rPr>
        <w:t xml:space="preserve"> годы.</w:t>
      </w:r>
      <w:r>
        <w:rPr>
          <w:sz w:val="28"/>
          <w:szCs w:val="28"/>
        </w:rPr>
      </w:r>
    </w:p>
    <w:p>
      <w:pPr>
        <w:pStyle w:val="767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Из них</w:t>
      </w:r>
      <w:r>
        <w:rPr>
          <w:rFonts w:cs="Times New Roman"/>
          <w:sz w:val="28"/>
          <w:szCs w:val="28"/>
          <w:lang w:val="ru-RU"/>
        </w:rPr>
        <w:t xml:space="preserve">: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300,00</w:t>
      </w:r>
      <w:r>
        <w:rPr>
          <w:sz w:val="28"/>
          <w:szCs w:val="28"/>
          <w:lang w:val="ru-RU"/>
        </w:rPr>
        <w:t xml:space="preserve"> -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>
        <w:rPr>
          <w:sz w:val="28"/>
          <w:szCs w:val="28"/>
          <w:lang w:val="ru-RU"/>
        </w:rPr>
        <w:t xml:space="preserve">тыс. руб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анитарная уборка мест накопления ТКО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</w:t>
      </w:r>
      <w:r>
        <w:rPr>
          <w:sz w:val="28"/>
          <w:szCs w:val="28"/>
          <w:lang w:val="ru-RU"/>
        </w:rPr>
        <w:t xml:space="preserve">5</w:t>
      </w:r>
      <w:r>
        <w:rPr>
          <w:sz w:val="28"/>
          <w:szCs w:val="28"/>
          <w:lang w:val="ru-RU"/>
        </w:rPr>
        <w:t xml:space="preserve"> год </w:t>
        <w:tab/>
      </w:r>
      <w:r>
        <w:rPr>
          <w:sz w:val="28"/>
          <w:szCs w:val="28"/>
          <w:lang w:val="ru-RU"/>
        </w:rPr>
        <w:t xml:space="preserve">300</w:t>
      </w:r>
      <w:r>
        <w:rPr>
          <w:sz w:val="28"/>
          <w:szCs w:val="28"/>
          <w:lang w:val="ru-RU"/>
        </w:rPr>
        <w:t xml:space="preserve">,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2026</w:t>
      </w:r>
      <w:r>
        <w:rPr>
          <w:sz w:val="28"/>
          <w:szCs w:val="28"/>
          <w:lang w:val="ru-RU"/>
        </w:rPr>
        <w:t xml:space="preserve"> год </w:t>
        <w:tab/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,0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2027</w:t>
      </w:r>
      <w:r>
        <w:rPr>
          <w:sz w:val="28"/>
          <w:szCs w:val="28"/>
          <w:lang w:val="ru-RU"/>
        </w:rPr>
        <w:t xml:space="preserve"> год </w:t>
        <w:tab/>
      </w:r>
      <w:r>
        <w:rPr>
          <w:sz w:val="28"/>
          <w:szCs w:val="28"/>
          <w:lang w:val="ru-RU"/>
        </w:rPr>
        <w:t xml:space="preserve">30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,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2028</w:t>
      </w:r>
      <w:r>
        <w:rPr>
          <w:sz w:val="28"/>
          <w:szCs w:val="28"/>
          <w:lang w:val="ru-RU"/>
        </w:rPr>
        <w:t xml:space="preserve"> год</w:t>
        <w:tab/>
      </w:r>
      <w:r>
        <w:rPr>
          <w:sz w:val="28"/>
          <w:szCs w:val="28"/>
          <w:lang w:val="ru-RU"/>
        </w:rPr>
        <w:t xml:space="preserve">0,0 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2029 год</w:t>
        <w:tab/>
        <w:t xml:space="preserve">0,0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3000</w:t>
      </w:r>
      <w:r>
        <w:rPr>
          <w:rFonts w:cs="Times New Roman"/>
          <w:sz w:val="28"/>
          <w:szCs w:val="28"/>
          <w:lang w:val="ru-RU"/>
        </w:rPr>
        <w:t xml:space="preserve">,</w:t>
      </w:r>
      <w:r>
        <w:rPr>
          <w:rFonts w:cs="Times New Roman"/>
          <w:sz w:val="28"/>
          <w:szCs w:val="28"/>
          <w:lang w:val="ru-RU"/>
        </w:rPr>
        <w:t xml:space="preserve">0</w:t>
      </w:r>
      <w:r>
        <w:rPr>
          <w:rFonts w:cs="Times New Roman"/>
          <w:sz w:val="28"/>
          <w:szCs w:val="28"/>
          <w:lang w:val="ru-RU"/>
        </w:rPr>
        <w:t xml:space="preserve">0</w:t>
      </w:r>
      <w:r>
        <w:rPr>
          <w:rFonts w:cs="Times New Roman"/>
          <w:sz w:val="28"/>
          <w:szCs w:val="28"/>
          <w:lang w:val="ru-RU"/>
        </w:rPr>
        <w:t xml:space="preserve"> тыс. руб </w:t>
      </w:r>
      <w:r>
        <w:rPr>
          <w:rFonts w:cs="Times New Roman"/>
          <w:sz w:val="28"/>
          <w:szCs w:val="28"/>
          <w:lang w:val="ru-RU"/>
        </w:rPr>
        <w:t xml:space="preserve">- обустройство</w:t>
      </w:r>
      <w:r>
        <w:rPr>
          <w:rFonts w:cs="Times New Roman"/>
          <w:sz w:val="28"/>
          <w:szCs w:val="28"/>
          <w:lang w:val="ru-RU"/>
        </w:rPr>
        <w:t xml:space="preserve"> специализированных площадок </w:t>
      </w:r>
      <w:r>
        <w:rPr>
          <w:rFonts w:cs="Times New Roman"/>
          <w:sz w:val="28"/>
          <w:szCs w:val="28"/>
          <w:lang w:val="ru-RU"/>
        </w:rPr>
        <w:t xml:space="preserve">и прилегающей территории </w:t>
      </w:r>
      <w:r>
        <w:rPr>
          <w:rFonts w:cs="Times New Roman"/>
          <w:sz w:val="28"/>
          <w:szCs w:val="28"/>
          <w:lang w:val="ru-RU"/>
        </w:rPr>
        <w:t xml:space="preserve">для установки</w:t>
      </w:r>
      <w:r>
        <w:rPr>
          <w:rFonts w:cs="Times New Roman"/>
          <w:sz w:val="28"/>
          <w:szCs w:val="28"/>
          <w:lang w:val="ru-RU"/>
        </w:rPr>
        <w:t xml:space="preserve"> контейнеров для сбора ТКО</w:t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202</w:t>
      </w:r>
      <w:r>
        <w:rPr>
          <w:rFonts w:cs="Times New Roman"/>
          <w:sz w:val="28"/>
          <w:szCs w:val="28"/>
          <w:lang w:val="ru-RU"/>
        </w:rPr>
        <w:t xml:space="preserve">5</w:t>
      </w:r>
      <w:r>
        <w:rPr>
          <w:rFonts w:cs="Times New Roman"/>
          <w:sz w:val="28"/>
          <w:szCs w:val="28"/>
          <w:lang w:val="ru-RU"/>
        </w:rPr>
        <w:t xml:space="preserve"> год </w:t>
        <w:tab/>
      </w:r>
      <w:r>
        <w:rPr>
          <w:rFonts w:cs="Times New Roman"/>
          <w:sz w:val="28"/>
          <w:szCs w:val="28"/>
          <w:lang w:val="ru-RU"/>
        </w:rPr>
        <w:t xml:space="preserve">3000,00</w:t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2026</w:t>
      </w:r>
      <w:r>
        <w:rPr>
          <w:rFonts w:cs="Times New Roman"/>
          <w:sz w:val="28"/>
          <w:szCs w:val="28"/>
          <w:lang w:val="ru-RU"/>
        </w:rPr>
        <w:t xml:space="preserve"> год </w:t>
        <w:tab/>
      </w:r>
      <w:r>
        <w:rPr>
          <w:rFonts w:cs="Times New Roman"/>
          <w:sz w:val="28"/>
          <w:szCs w:val="28"/>
          <w:lang w:val="ru-RU"/>
        </w:rPr>
        <w:t xml:space="preserve">575</w:t>
      </w:r>
      <w:r>
        <w:rPr>
          <w:rFonts w:cs="Times New Roman"/>
          <w:sz w:val="28"/>
          <w:szCs w:val="28"/>
          <w:lang w:val="ru-RU"/>
        </w:rPr>
        <w:t xml:space="preserve">,00</w:t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2027</w:t>
      </w:r>
      <w:r>
        <w:rPr>
          <w:rFonts w:cs="Times New Roman"/>
          <w:sz w:val="28"/>
          <w:szCs w:val="28"/>
          <w:lang w:val="ru-RU"/>
        </w:rPr>
        <w:t xml:space="preserve"> год </w:t>
        <w:tab/>
      </w:r>
      <w:r>
        <w:rPr>
          <w:rFonts w:cs="Times New Roman"/>
          <w:sz w:val="28"/>
          <w:szCs w:val="28"/>
          <w:lang w:val="ru-RU"/>
        </w:rPr>
        <w:t xml:space="preserve">00</w:t>
      </w:r>
      <w:r>
        <w:rPr>
          <w:rFonts w:cs="Times New Roman"/>
          <w:sz w:val="28"/>
          <w:szCs w:val="28"/>
          <w:lang w:val="ru-RU"/>
        </w:rPr>
        <w:t xml:space="preserve">,0</w:t>
      </w:r>
      <w:r>
        <w:rPr>
          <w:rFonts w:cs="Times New Roman"/>
          <w:sz w:val="28"/>
          <w:szCs w:val="28"/>
          <w:lang w:val="ru-RU"/>
        </w:rPr>
        <w:t xml:space="preserve">0</w:t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2028</w:t>
      </w:r>
      <w:r>
        <w:rPr>
          <w:rFonts w:cs="Times New Roman"/>
          <w:sz w:val="28"/>
          <w:szCs w:val="28"/>
          <w:lang w:val="ru-RU"/>
        </w:rPr>
        <w:t xml:space="preserve"> год</w:t>
        <w:tab/>
        <w:t xml:space="preserve">00</w:t>
      </w:r>
      <w:r>
        <w:rPr>
          <w:rFonts w:cs="Times New Roman"/>
          <w:sz w:val="28"/>
          <w:szCs w:val="28"/>
          <w:lang w:val="ru-RU"/>
        </w:rPr>
        <w:t xml:space="preserve">,0</w:t>
      </w:r>
      <w:r>
        <w:rPr>
          <w:rFonts w:cs="Times New Roman"/>
          <w:sz w:val="28"/>
          <w:szCs w:val="28"/>
          <w:lang w:val="ru-RU"/>
        </w:rPr>
        <w:t xml:space="preserve">0</w:t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2029</w:t>
      </w:r>
      <w:r>
        <w:rPr>
          <w:rFonts w:cs="Times New Roman"/>
          <w:sz w:val="28"/>
          <w:szCs w:val="28"/>
          <w:lang w:val="ru-RU"/>
        </w:rPr>
        <w:t xml:space="preserve"> год</w:t>
        <w:tab/>
        <w:t xml:space="preserve">00,00</w:t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2500,00</w:t>
      </w:r>
      <w:r>
        <w:rPr>
          <w:rFonts w:cs="Times New Roman"/>
          <w:sz w:val="28"/>
          <w:szCs w:val="28"/>
          <w:lang w:val="ru-RU"/>
        </w:rPr>
        <w:t xml:space="preserve"> -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тыс. руб</w:t>
      </w:r>
      <w:r>
        <w:rPr>
          <w:rFonts w:cs="Times New Roman"/>
          <w:sz w:val="28"/>
          <w:szCs w:val="28"/>
          <w:lang w:val="ru-RU"/>
        </w:rPr>
        <w:t xml:space="preserve">.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риобретение в муниципальную собственность </w:t>
      </w:r>
      <w:r>
        <w:rPr>
          <w:sz w:val="28"/>
          <w:szCs w:val="28"/>
          <w:lang w:val="ru-RU"/>
        </w:rPr>
        <w:t xml:space="preserve">бункеров-накопителей для складирования крупногабаритных отходов,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контейнеров для складирования</w:t>
      </w:r>
      <w:r>
        <w:rPr>
          <w:sz w:val="28"/>
          <w:szCs w:val="28"/>
        </w:rPr>
        <w:t xml:space="preserve"> твердых коммунальных отходов</w:t>
      </w:r>
      <w:r>
        <w:rPr>
          <w:sz w:val="28"/>
          <w:szCs w:val="28"/>
          <w:lang w:val="ru-RU"/>
        </w:rPr>
        <w:t xml:space="preserve">, в том числе для раздельного сбора.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2025 год </w:t>
        <w:tab/>
        <w:t xml:space="preserve">2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</w:rPr>
        <w:t xml:space="preserve">00</w:t>
      </w:r>
      <w:r>
        <w:rPr>
          <w:sz w:val="28"/>
          <w:szCs w:val="28"/>
        </w:rPr>
        <w:t xml:space="preserve">,0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2026</w:t>
      </w:r>
      <w:r>
        <w:rPr>
          <w:sz w:val="28"/>
          <w:szCs w:val="28"/>
        </w:rPr>
        <w:t xml:space="preserve"> год </w:t>
        <w:tab/>
      </w:r>
      <w:r>
        <w:rPr>
          <w:sz w:val="28"/>
          <w:szCs w:val="28"/>
          <w:lang w:val="ru-RU"/>
        </w:rPr>
        <w:t xml:space="preserve">600</w:t>
      </w:r>
      <w:r>
        <w:rPr>
          <w:sz w:val="28"/>
          <w:szCs w:val="28"/>
        </w:rPr>
        <w:t xml:space="preserve">,0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2027</w:t>
      </w:r>
      <w:r>
        <w:rPr>
          <w:sz w:val="28"/>
          <w:szCs w:val="28"/>
        </w:rPr>
        <w:t xml:space="preserve"> год </w:t>
        <w:tab/>
      </w:r>
      <w:r>
        <w:rPr>
          <w:sz w:val="28"/>
          <w:szCs w:val="28"/>
          <w:lang w:val="ru-RU"/>
        </w:rPr>
        <w:t xml:space="preserve">00,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2028</w:t>
      </w:r>
      <w:r>
        <w:rPr>
          <w:sz w:val="28"/>
          <w:szCs w:val="28"/>
        </w:rPr>
        <w:t xml:space="preserve"> год</w:t>
        <w:tab/>
      </w:r>
      <w:r>
        <w:rPr>
          <w:sz w:val="28"/>
          <w:szCs w:val="28"/>
          <w:lang w:val="ru-RU"/>
        </w:rPr>
        <w:t xml:space="preserve">00,00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2029</w:t>
      </w:r>
      <w:r>
        <w:rPr>
          <w:sz w:val="28"/>
          <w:szCs w:val="28"/>
        </w:rPr>
        <w:t xml:space="preserve"> год</w:t>
        <w:tab/>
      </w:r>
      <w:r>
        <w:rPr>
          <w:sz w:val="28"/>
          <w:szCs w:val="28"/>
          <w:lang w:val="ru-RU"/>
        </w:rPr>
        <w:t xml:space="preserve">00,00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00,0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-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>
        <w:rPr>
          <w:sz w:val="28"/>
          <w:szCs w:val="28"/>
          <w:lang w:val="ru-RU"/>
        </w:rPr>
        <w:t xml:space="preserve">тыс. руб</w:t>
      </w:r>
      <w:r>
        <w:rPr>
          <w:sz w:val="28"/>
          <w:szCs w:val="28"/>
          <w:lang w:val="ru-RU"/>
        </w:rPr>
        <w:t xml:space="preserve"> п</w:t>
      </w:r>
      <w:r>
        <w:rPr>
          <w:sz w:val="28"/>
          <w:szCs w:val="28"/>
          <w:lang w:val="ru-RU"/>
        </w:rPr>
        <w:t xml:space="preserve">овышение уровня экологического воспитания и экологической культуры населения</w:t>
      </w:r>
      <w:r>
        <w:rPr>
          <w:sz w:val="28"/>
          <w:szCs w:val="28"/>
          <w:lang w:val="ru-RU"/>
        </w:rPr>
        <w:t xml:space="preserve">.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</w:t>
      </w:r>
      <w:r>
        <w:rPr>
          <w:sz w:val="28"/>
          <w:szCs w:val="28"/>
          <w:lang w:val="ru-RU"/>
        </w:rPr>
        <w:t xml:space="preserve">5</w:t>
      </w:r>
      <w:r>
        <w:rPr>
          <w:sz w:val="28"/>
          <w:szCs w:val="28"/>
          <w:lang w:val="ru-RU"/>
        </w:rPr>
        <w:t xml:space="preserve"> год </w:t>
        <w:tab/>
        <w:t xml:space="preserve">0,0</w:t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2026</w:t>
      </w:r>
      <w:r>
        <w:rPr>
          <w:sz w:val="28"/>
          <w:szCs w:val="28"/>
          <w:lang w:val="ru-RU"/>
        </w:rPr>
        <w:t xml:space="preserve"> год </w:t>
        <w:tab/>
        <w:t xml:space="preserve">0</w:t>
      </w:r>
      <w:r>
        <w:rPr>
          <w:sz w:val="28"/>
          <w:szCs w:val="28"/>
          <w:lang w:val="ru-RU"/>
        </w:rPr>
        <w:t xml:space="preserve">,0</w:t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2027</w:t>
      </w:r>
      <w:r>
        <w:rPr>
          <w:sz w:val="28"/>
          <w:szCs w:val="28"/>
          <w:lang w:val="ru-RU"/>
        </w:rPr>
        <w:t xml:space="preserve"> год </w:t>
        <w:tab/>
        <w:t xml:space="preserve">0</w:t>
      </w:r>
      <w:r>
        <w:rPr>
          <w:sz w:val="28"/>
          <w:szCs w:val="28"/>
          <w:lang w:val="ru-RU"/>
        </w:rPr>
        <w:t xml:space="preserve">,0</w:t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2028</w:t>
      </w:r>
      <w:r>
        <w:rPr>
          <w:sz w:val="28"/>
          <w:szCs w:val="28"/>
          <w:lang w:val="ru-RU"/>
        </w:rPr>
        <w:t xml:space="preserve"> год</w:t>
        <w:tab/>
      </w:r>
      <w:r>
        <w:rPr>
          <w:sz w:val="28"/>
          <w:szCs w:val="28"/>
          <w:lang w:val="ru-RU"/>
        </w:rPr>
        <w:t xml:space="preserve">0,0</w:t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2029</w:t>
      </w:r>
      <w:r>
        <w:rPr>
          <w:sz w:val="28"/>
          <w:szCs w:val="28"/>
          <w:lang w:val="ru-RU"/>
        </w:rPr>
        <w:t xml:space="preserve"> год</w:t>
        <w:tab/>
      </w:r>
      <w:r>
        <w:rPr>
          <w:sz w:val="28"/>
          <w:szCs w:val="28"/>
          <w:lang w:val="ru-RU"/>
        </w:rPr>
        <w:t xml:space="preserve">0,0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67"/>
        <w:ind w:left="567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Объемы финансирования программы могут корректироваться в течении всего периода реализации мероприятий </w:t>
      </w:r>
      <w:r>
        <w:rPr>
          <w:rFonts w:cs="Times New Roman"/>
          <w:sz w:val="28"/>
          <w:szCs w:val="28"/>
          <w:lang w:val="ru-RU"/>
        </w:rPr>
        <w:t xml:space="preserve">п</w:t>
      </w:r>
      <w:r>
        <w:rPr>
          <w:rFonts w:cs="Times New Roman"/>
          <w:sz w:val="28"/>
          <w:szCs w:val="28"/>
          <w:lang w:val="ru-RU"/>
        </w:rPr>
        <w:t xml:space="preserve">рограммы, исходя из возможностей бюджета и степени реализации мероприятий.</w:t>
      </w:r>
      <w:r>
        <w:rPr>
          <w:rFonts w:cs="Times New Roman"/>
          <w:sz w:val="28"/>
          <w:szCs w:val="28"/>
          <w:lang w:val="ru-RU"/>
        </w:rPr>
      </w:r>
    </w:p>
    <w:p>
      <w:pPr>
        <w:pStyle w:val="71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Обоснование ресурсного обеспечения муниципальной программы представлено</w:t>
      </w:r>
      <w:r>
        <w:rPr>
          <w:sz w:val="28"/>
          <w:szCs w:val="28"/>
        </w:rPr>
        <w:t xml:space="preserve"> в приложении 3 к программе.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ind w:firstLine="709"/>
        <w:jc w:val="center"/>
        <w:tabs>
          <w:tab w:val="left" w:pos="306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jc w:val="center"/>
        <w:tabs>
          <w:tab w:val="left" w:pos="306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Методика оценки эффективности реализации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18"/>
        <w:jc w:val="center"/>
        <w:tabs>
          <w:tab w:val="left" w:pos="306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</w:t>
      </w:r>
      <w:r>
        <w:rPr>
          <w:b/>
          <w:sz w:val="28"/>
          <w:szCs w:val="28"/>
        </w:rPr>
      </w:r>
    </w:p>
    <w:p>
      <w:pPr>
        <w:pStyle w:val="718"/>
        <w:ind w:firstLine="709"/>
        <w:jc w:val="both"/>
        <w:tabs>
          <w:tab w:val="left" w:pos="3060" w:leader="none"/>
        </w:tabs>
      </w:pPr>
      <w:r/>
      <w:r/>
    </w:p>
    <w:p>
      <w:pPr>
        <w:pStyle w:val="71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оценки эффективности реализации муниципальной программы </w:t>
      </w:r>
      <w:r>
        <w:rPr>
          <w:sz w:val="28"/>
          <w:szCs w:val="28"/>
        </w:rPr>
        <w:t xml:space="preserve">осуществляется в соответствии с типовой методикой о</w:t>
      </w:r>
      <w:r>
        <w:rPr>
          <w:sz w:val="28"/>
          <w:szCs w:val="28"/>
        </w:rPr>
        <w:t xml:space="preserve">ценки эффективности реализации </w:t>
      </w:r>
      <w:r>
        <w:rPr>
          <w:sz w:val="28"/>
          <w:szCs w:val="28"/>
        </w:rPr>
        <w:t xml:space="preserve">программы, утвержденной постановлением администрации муниципального образования Ленинградский район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10 декабря 2024 г</w:t>
      </w:r>
      <w:r>
        <w:rPr>
          <w:sz w:val="28"/>
          <w:szCs w:val="28"/>
        </w:rPr>
        <w:t xml:space="preserve">.        </w:t>
      </w:r>
      <w:r>
        <w:rPr>
          <w:sz w:val="28"/>
          <w:szCs w:val="28"/>
        </w:rPr>
        <w:t xml:space="preserve"> № 1352 «О системе управления муниципальными программами муниципального образования Ленинградский муниципальный округ Краснодарского края»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718"/>
        <w:ind w:firstLine="709"/>
        <w:jc w:val="both"/>
        <w:tabs>
          <w:tab w:val="left" w:pos="84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Методика расчета целевых показателей Программы изложена в приложении 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к программе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ind w:firstLine="709"/>
        <w:jc w:val="both"/>
        <w:tabs>
          <w:tab w:val="left" w:pos="8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ind w:firstLine="709"/>
        <w:jc w:val="both"/>
        <w:tabs>
          <w:tab w:val="left" w:pos="8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ind w:firstLine="709"/>
        <w:jc w:val="both"/>
        <w:tabs>
          <w:tab w:val="left" w:pos="8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jc w:val="center"/>
        <w:tabs>
          <w:tab w:val="left" w:pos="84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Механизм реализации муниципальной программы</w:t>
      </w:r>
      <w:r>
        <w:rPr>
          <w:b/>
          <w:sz w:val="28"/>
          <w:szCs w:val="28"/>
        </w:rPr>
      </w:r>
    </w:p>
    <w:p>
      <w:pPr>
        <w:pStyle w:val="718"/>
        <w:ind w:firstLine="709"/>
        <w:jc w:val="center"/>
        <w:tabs>
          <w:tab w:val="left" w:pos="8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31"/>
        <w:ind w:firstLine="709"/>
        <w:jc w:val="both"/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pP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Реализация муниципальной программы осуществляется в соответствии с перечнем основных мероприятий участниками муниципальной программы.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</w:p>
    <w:p>
      <w:pPr>
        <w:pStyle w:val="731"/>
        <w:ind w:firstLine="709"/>
        <w:jc w:val="both"/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pP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Участники муниципальной программы несут ответственность за реализацию соответствующих мероприятий, конечные результаты, целевое и эффективное использование выделяемых средств на реализацию мероприятий.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</w:p>
    <w:p>
      <w:pPr>
        <w:pStyle w:val="767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Внесение изменений в Программу осуществляется по инициативе ответственного исполнителя, либо во исполнение поручений главы муниципального образования, в том числе с учетом результатов оценки эффе</w:t>
      </w:r>
      <w:r>
        <w:rPr>
          <w:rFonts w:cs="Times New Roman"/>
          <w:sz w:val="28"/>
          <w:szCs w:val="28"/>
          <w:lang w:val="ru-RU"/>
        </w:rPr>
        <w:t xml:space="preserve">ктивности реализации программы.</w:t>
      </w:r>
      <w:r>
        <w:rPr>
          <w:rFonts w:cs="Times New Roman"/>
          <w:sz w:val="28"/>
          <w:szCs w:val="28"/>
          <w:lang w:val="ru-RU"/>
        </w:rPr>
      </w:r>
      <w:r>
        <w:rPr>
          <w:rFonts w:cs="Times New Roman"/>
          <w:sz w:val="28"/>
          <w:szCs w:val="28"/>
          <w:lang w:val="ru-RU"/>
        </w:rPr>
      </w:r>
    </w:p>
    <w:p>
      <w:pPr>
        <w:pStyle w:val="767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Решение об изменении программных мероприятий и их ресурсного обеспечения в ходе реализации программы может </w:t>
      </w:r>
      <w:r>
        <w:rPr>
          <w:rFonts w:cs="Times New Roman"/>
          <w:sz w:val="28"/>
          <w:szCs w:val="28"/>
          <w:lang w:val="ru-RU"/>
        </w:rPr>
        <w:t xml:space="preserve">быть принято в связи с сокращением финансирования, по результатам оценки эффективности проводимых мероприятий на основе анализа основных показателей (индикаторов) программы, а также в случае изменения нормативной правовой базы в сфере реализации Программы.</w:t>
      </w:r>
      <w:r>
        <w:rPr>
          <w:rFonts w:cs="Times New Roman"/>
          <w:sz w:val="28"/>
          <w:szCs w:val="28"/>
          <w:lang w:val="ru-RU"/>
        </w:rPr>
      </w:r>
    </w:p>
    <w:p>
      <w:pPr>
        <w:pStyle w:val="731"/>
        <w:ind w:firstLine="709"/>
        <w:jc w:val="both"/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рамках исполнения мероприятий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,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 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заказчик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 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организует закупку товаров, работ и услуг в соответствии с Федеральным законом от 5 апреля 2013г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.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 №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 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44 - ФЗ «О контрактной системе в сфере закупок товаров, работ, услуг для обеспечения государственных и муниципальных услуг». 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</w:p>
    <w:p>
      <w:pPr>
        <w:pStyle w:val="731"/>
        <w:ind w:firstLine="709"/>
        <w:jc w:val="both"/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pP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Ответственным исполнителем программы является </w:t>
      </w:r>
      <w:r>
        <w:rPr>
          <w:rFonts w:ascii="Times New Roman" w:hAnsi="Times New Roman"/>
          <w:sz w:val="28"/>
          <w:szCs w:val="28"/>
        </w:rPr>
        <w:t xml:space="preserve">сектор работы с </w:t>
      </w:r>
      <w:r>
        <w:rPr>
          <w:rFonts w:ascii="Times New Roman" w:hAnsi="Times New Roman"/>
          <w:sz w:val="28"/>
          <w:szCs w:val="28"/>
          <w:lang w:val="ru-RU"/>
        </w:rPr>
        <w:t xml:space="preserve">ТКО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у</w:t>
      </w:r>
      <w:r>
        <w:rPr>
          <w:rFonts w:ascii="Times New Roman" w:hAnsi="Times New Roman"/>
          <w:sz w:val="28"/>
          <w:szCs w:val="28"/>
        </w:rPr>
        <w:t xml:space="preserve">правления 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ТЭК и ЖКХ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 администрации Ленинградск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ого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 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муниципального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 округ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а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. 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</w:p>
    <w:p>
      <w:pPr>
        <w:pStyle w:val="731"/>
        <w:ind w:firstLine="709"/>
        <w:jc w:val="both"/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pP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С целью управления и контроля за реализацией программы </w:t>
      </w:r>
      <w:r>
        <w:rPr>
          <w:rFonts w:ascii="Times New Roman" w:hAnsi="Times New Roman"/>
          <w:sz w:val="28"/>
          <w:szCs w:val="28"/>
        </w:rPr>
        <w:t xml:space="preserve">сектор работы с </w:t>
      </w:r>
      <w:r>
        <w:rPr>
          <w:rFonts w:ascii="Times New Roman" w:hAnsi="Times New Roman"/>
          <w:sz w:val="28"/>
          <w:szCs w:val="28"/>
          <w:lang w:val="ru-RU"/>
        </w:rPr>
        <w:t xml:space="preserve">ТКО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у</w:t>
      </w:r>
      <w:r>
        <w:rPr>
          <w:rFonts w:ascii="Times New Roman" w:hAnsi="Times New Roman"/>
          <w:sz w:val="28"/>
          <w:szCs w:val="28"/>
        </w:rPr>
        <w:t xml:space="preserve">правления 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ТЭК и ЖКХ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 администрации Ленинградск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ого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 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муниципального округа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: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</w:p>
    <w:p>
      <w:pPr>
        <w:pStyle w:val="731"/>
        <w:ind w:firstLine="709"/>
        <w:jc w:val="both"/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pP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а)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 осуществляет сбор информации о выполнении мероприятий Программы, их анализ, обобщение, подготовку и ежегодное представление отчёта о выполнении программы;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</w:p>
    <w:p>
      <w:pPr>
        <w:pStyle w:val="731"/>
        <w:ind w:firstLine="709"/>
        <w:jc w:val="both"/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pP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б)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 проводит согласование планируемых к выполнению и фактически выполненных объёмов работ;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</w:p>
    <w:p>
      <w:pPr>
        <w:pStyle w:val="731"/>
        <w:ind w:firstLine="709"/>
        <w:jc w:val="both"/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pP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в)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 вносит предложения о корректировке программы;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</w:p>
    <w:p>
      <w:pPr>
        <w:pStyle w:val="731"/>
        <w:ind w:firstLine="709"/>
        <w:jc w:val="both"/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pP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г)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  <w:t xml:space="preserve"> несёт ответственность за достижение показателей (индикаторов) Программы, а также конечных результатов её реализации.</w:t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</w:p>
    <w:p>
      <w:pPr>
        <w:pStyle w:val="731"/>
        <w:ind w:firstLine="709"/>
        <w:jc w:val="both"/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pP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</w:p>
    <w:p>
      <w:pPr>
        <w:pStyle w:val="731"/>
        <w:ind w:firstLine="709"/>
        <w:jc w:val="both"/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pP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  <w:r>
        <w:rPr>
          <w:rFonts w:ascii="Times New Roman" w:hAnsi="Times New Roman" w:eastAsia="Andale Sans UI"/>
          <w:spacing w:val="0"/>
          <w:sz w:val="28"/>
          <w:szCs w:val="28"/>
          <w:lang w:val="ru-RU" w:eastAsia="ja-JP" w:bidi="fa-IR"/>
        </w:rPr>
      </w:r>
    </w:p>
    <w:p>
      <w:pPr>
        <w:pStyle w:val="718"/>
        <w:ind w:right="-55"/>
        <w:shd w:val="clear" w:color="auto" w:fill="ffffff"/>
        <w:tabs>
          <w:tab w:val="left" w:pos="3868" w:leader="none"/>
          <w:tab w:val="left" w:pos="8364" w:leader="none"/>
          <w:tab w:val="left" w:pos="1290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</w:t>
      </w:r>
      <w:r>
        <w:rPr>
          <w:sz w:val="28"/>
          <w:szCs w:val="28"/>
        </w:rPr>
        <w:t xml:space="preserve"> главы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8"/>
        <w:ind w:right="-55"/>
        <w:shd w:val="clear" w:color="auto" w:fill="ffffff"/>
        <w:tabs>
          <w:tab w:val="left" w:pos="3868" w:leader="none"/>
          <w:tab w:val="left" w:pos="7655" w:leader="none"/>
          <w:tab w:val="left" w:pos="1290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Ленинградского муниципального округа                                         </w:t>
      </w:r>
      <w:r>
        <w:rPr>
          <w:sz w:val="28"/>
          <w:szCs w:val="28"/>
        </w:rPr>
        <w:t xml:space="preserve">С.Н.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Шмаровоз</w:t>
      </w:r>
      <w:r>
        <w:rPr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9" w:h="16834" w:orient="portrait"/>
      <w:pgMar w:top="1134" w:right="624" w:bottom="1134" w:left="1701" w:header="720" w:footer="720" w:gutter="0"/>
      <w:cols w:num="1" w:sep="0" w:space="6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Viner Hand ITC">
    <w:panose1 w:val="030F0702030302020204"/>
  </w:font>
  <w:font w:name="Wingdings">
    <w:panose1 w:val="05010000000000000000"/>
  </w:font>
  <w:font w:name="Andale Sans UI">
    <w:panose1 w:val="02000603000000000000"/>
  </w:font>
  <w:font w:name="Courier New">
    <w:panose1 w:val="02070309020205020404"/>
  </w:font>
  <w:font w:name="Times New Roman CYR">
    <w:panose1 w:val="020206030504050203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6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ru-RU"/>
      </w:rPr>
      <w:t xml:space="preserve">4</w:t>
    </w:r>
    <w:r>
      <w:rPr>
        <w:sz w:val="28"/>
        <w:szCs w:val="28"/>
      </w:rPr>
      <w:fldChar w:fldCharType="end"/>
    </w:r>
    <w:r>
      <w:rPr>
        <w:sz w:val="28"/>
        <w:szCs w:val="28"/>
      </w:rPr>
    </w:r>
    <w:r>
      <w:rPr>
        <w:sz w:val="28"/>
        <w:szCs w:val="28"/>
      </w:rPr>
    </w:r>
  </w:p>
  <w:p>
    <w:pPr>
      <w:pStyle w:val="72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6"/>
      <w:rPr>
        <w:rStyle w:val="762"/>
      </w:rPr>
      <w:framePr w:wrap="around" w:vAnchor="text" w:hAnchor="margin" w:xAlign="center" w:y="1"/>
    </w:pPr>
    <w:r>
      <w:rPr>
        <w:rStyle w:val="762"/>
      </w:rPr>
      <w:fldChar w:fldCharType="begin"/>
    </w:r>
    <w:r>
      <w:rPr>
        <w:rStyle w:val="762"/>
      </w:rPr>
      <w:instrText xml:space="preserve">PAGE  </w:instrText>
    </w:r>
    <w:r>
      <w:rPr>
        <w:rStyle w:val="762"/>
      </w:rPr>
      <w:fldChar w:fldCharType="end"/>
    </w:r>
    <w:r>
      <w:rPr>
        <w:rStyle w:val="762"/>
      </w:rPr>
    </w:r>
    <w:r>
      <w:rPr>
        <w:rStyle w:val="762"/>
      </w:rPr>
    </w:r>
  </w:p>
  <w:p>
    <w:pPr>
      <w:pStyle w:val="72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  <w:tabs>
          <w:tab w:val="num" w:pos="643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2" w:hanging="360"/>
        <w:tabs>
          <w:tab w:val="num" w:pos="149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1584" w:hanging="1584"/>
        <w:tabs>
          <w:tab w:val="num" w:pos="1584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95" w:hanging="855"/>
      </w:pPr>
      <w:rPr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2329" w:hanging="360"/>
        <w:tabs>
          <w:tab w:val="num" w:pos="2329" w:leader="none"/>
        </w:tabs>
      </w:pPr>
      <w:rPr>
        <w:rFonts w:ascii="Viner Hand ITC" w:hAnsi="Viner Hand ITC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Wingdings" w:hAnsi="Wingdings"/>
      </w:rPr>
    </w:lvl>
  </w:abstractNum>
  <w:abstractNum w:abstractNumId="15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2"/>
      <w:numFmt w:val="decimal"/>
      <w:isLgl w:val="false"/>
      <w:suff w:val="tab"/>
      <w:lvlText w:val="%1.%2."/>
      <w:lvlJc w:val="left"/>
      <w:pPr>
        <w:ind w:left="3415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426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7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32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539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875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601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812" w:hanging="216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2329" w:hanging="360"/>
        <w:tabs>
          <w:tab w:val="num" w:pos="2329" w:leader="none"/>
        </w:tabs>
      </w:pPr>
      <w:rPr>
        <w:rFonts w:ascii="Viner Hand ITC" w:hAnsi="Viner Hand ITC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2329" w:hanging="360"/>
        <w:tabs>
          <w:tab w:val="num" w:pos="2329" w:leader="none"/>
        </w:tabs>
      </w:pPr>
      <w:rPr>
        <w:rFonts w:ascii="Viner Hand ITC" w:hAnsi="Viner Hand ITC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65535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5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79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1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3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5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7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39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16" w:hanging="18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95" w:hanging="855"/>
      </w:pPr>
      <w:rPr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multiLevelType w:val="hybridMultilevel"/>
    <w:lvl w:ilvl="0">
      <w:start w:val="65535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65535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5" w:hanging="360"/>
        <w:tabs>
          <w:tab w:val="num" w:pos="43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55" w:hanging="360"/>
        <w:tabs>
          <w:tab w:val="num" w:pos="115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75" w:hanging="180"/>
        <w:tabs>
          <w:tab w:val="num" w:pos="187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95" w:hanging="360"/>
        <w:tabs>
          <w:tab w:val="num" w:pos="259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15" w:hanging="360"/>
        <w:tabs>
          <w:tab w:val="num" w:pos="331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35" w:hanging="180"/>
        <w:tabs>
          <w:tab w:val="num" w:pos="403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55" w:hanging="360"/>
        <w:tabs>
          <w:tab w:val="num" w:pos="475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75" w:hanging="360"/>
        <w:tabs>
          <w:tab w:val="num" w:pos="547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95" w:hanging="180"/>
        <w:tabs>
          <w:tab w:val="num" w:pos="6195" w:leader="none"/>
        </w:tabs>
      </w:pPr>
    </w:lvl>
  </w:abstractNum>
  <w:num w:numId="1">
    <w:abstractNumId w:val="15"/>
  </w:num>
  <w:num w:numId="2">
    <w:abstractNumId w:val="1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3">
    <w:abstractNumId w:val="30"/>
  </w:num>
  <w:num w:numId="4">
    <w:abstractNumId w:val="28"/>
  </w:num>
  <w:num w:numId="5">
    <w:abstractNumId w:val="23"/>
  </w:num>
  <w:num w:numId="6">
    <w:abstractNumId w:val="13"/>
  </w:num>
  <w:num w:numId="7">
    <w:abstractNumId w:val="32"/>
  </w:num>
  <w:num w:numId="8">
    <w:abstractNumId w:val="14"/>
  </w:num>
  <w:num w:numId="9">
    <w:abstractNumId w:val="16"/>
  </w:num>
  <w:num w:numId="10">
    <w:abstractNumId w:val="18"/>
  </w:num>
  <w:num w:numId="11">
    <w:abstractNumId w:val="25"/>
  </w:num>
  <w:num w:numId="12">
    <w:abstractNumId w:val="1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22"/>
  </w:num>
  <w:num w:numId="16">
    <w:abstractNumId w:val="17"/>
  </w:num>
  <w:num w:numId="17">
    <w:abstractNumId w:val="27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21"/>
  </w:num>
  <w:num w:numId="30">
    <w:abstractNumId w:val="26"/>
  </w:num>
  <w:num w:numId="31">
    <w:abstractNumId w:val="29"/>
  </w:num>
  <w:num w:numId="32">
    <w:abstractNumId w:val="31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18"/>
    <w:next w:val="71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18"/>
    <w:next w:val="71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18"/>
    <w:next w:val="71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18"/>
    <w:next w:val="71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18"/>
    <w:next w:val="71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18"/>
    <w:next w:val="71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18"/>
    <w:next w:val="71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18"/>
    <w:next w:val="71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18"/>
    <w:next w:val="71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18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18"/>
    <w:next w:val="71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718"/>
    <w:next w:val="71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718"/>
    <w:next w:val="71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18"/>
    <w:next w:val="71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1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718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718"/>
    <w:next w:val="7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1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71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718"/>
    <w:next w:val="71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18"/>
    <w:next w:val="71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18"/>
    <w:next w:val="71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18"/>
    <w:next w:val="71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18"/>
    <w:next w:val="71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18"/>
    <w:next w:val="71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18"/>
    <w:next w:val="71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18"/>
    <w:next w:val="71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18"/>
    <w:next w:val="71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18"/>
    <w:next w:val="718"/>
    <w:uiPriority w:val="99"/>
    <w:unhideWhenUsed/>
    <w:pPr>
      <w:spacing w:after="0" w:afterAutospacing="0"/>
    </w:pPr>
  </w:style>
  <w:style w:type="paragraph" w:styleId="718" w:default="1">
    <w:name w:val="Normal"/>
    <w:next w:val="718"/>
    <w:link w:val="718"/>
    <w:qFormat/>
    <w:pPr>
      <w:widowControl w:val="off"/>
    </w:pPr>
    <w:rPr>
      <w:rFonts w:ascii="Times New Roman" w:hAnsi="Times New Roman"/>
      <w:lang w:val="ru-RU" w:eastAsia="ru-RU" w:bidi="ar-SA"/>
    </w:rPr>
  </w:style>
  <w:style w:type="paragraph" w:styleId="719">
    <w:name w:val="Заголовок 1"/>
    <w:basedOn w:val="718"/>
    <w:next w:val="718"/>
    <w:link w:val="751"/>
    <w:qFormat/>
    <w:pPr>
      <w:jc w:val="both"/>
      <w:keepNext/>
      <w:spacing w:line="348" w:lineRule="auto"/>
      <w:outlineLvl w:val="0"/>
    </w:pPr>
    <w:rPr>
      <w:rFonts w:ascii="Calibri" w:hAnsi="Calibri"/>
      <w:sz w:val="28"/>
      <w:lang w:val="en-US" w:eastAsia="en-US"/>
    </w:rPr>
  </w:style>
  <w:style w:type="paragraph" w:styleId="720">
    <w:name w:val="Заголовок 4"/>
    <w:basedOn w:val="718"/>
    <w:next w:val="718"/>
    <w:link w:val="755"/>
    <w:qFormat/>
    <w:pPr>
      <w:keepNext/>
      <w:spacing w:before="240" w:after="60"/>
      <w:widowControl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721">
    <w:name w:val="Заголовок 5"/>
    <w:basedOn w:val="718"/>
    <w:next w:val="718"/>
    <w:link w:val="752"/>
    <w:qFormat/>
    <w:pPr>
      <w:spacing w:before="240" w:after="60"/>
      <w:widowControl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styleId="722">
    <w:name w:val="Основной шрифт абзаца"/>
    <w:next w:val="722"/>
    <w:link w:val="718"/>
    <w:uiPriority w:val="1"/>
    <w:unhideWhenUsed/>
  </w:style>
  <w:style w:type="table" w:styleId="723">
    <w:name w:val="Обычная таблица"/>
    <w:next w:val="723"/>
    <w:link w:val="718"/>
    <w:uiPriority w:val="99"/>
    <w:semiHidden/>
    <w:unhideWhenUsed/>
    <w:qFormat/>
    <w:tblPr/>
  </w:style>
  <w:style w:type="numbering" w:styleId="724">
    <w:name w:val="Нет списка"/>
    <w:next w:val="724"/>
    <w:link w:val="718"/>
    <w:uiPriority w:val="99"/>
    <w:semiHidden/>
    <w:unhideWhenUsed/>
  </w:style>
  <w:style w:type="table" w:styleId="725">
    <w:name w:val="Сетка таблицы"/>
    <w:basedOn w:val="723"/>
    <w:next w:val="725"/>
    <w:link w:val="718"/>
    <w:uiPriority w:val="59"/>
    <w:tblPr/>
  </w:style>
  <w:style w:type="paragraph" w:styleId="726">
    <w:name w:val="Верхний колонтитул"/>
    <w:basedOn w:val="718"/>
    <w:next w:val="726"/>
    <w:link w:val="727"/>
    <w:uiPriority w:val="99"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27">
    <w:name w:val="Верхний колонтитул Знак"/>
    <w:next w:val="727"/>
    <w:link w:val="726"/>
    <w:uiPriority w:val="99"/>
    <w:rPr>
      <w:rFonts w:ascii="Times New Roman" w:hAnsi="Times New Roman" w:cs="Times New Roman"/>
      <w:sz w:val="20"/>
      <w:szCs w:val="20"/>
    </w:rPr>
  </w:style>
  <w:style w:type="paragraph" w:styleId="728">
    <w:name w:val="Нижний колонтитул"/>
    <w:basedOn w:val="718"/>
    <w:next w:val="728"/>
    <w:link w:val="729"/>
    <w:uiPriority w:val="99"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29">
    <w:name w:val="Нижний колонтитул Знак"/>
    <w:next w:val="729"/>
    <w:link w:val="728"/>
    <w:uiPriority w:val="99"/>
    <w:rPr>
      <w:rFonts w:ascii="Times New Roman" w:hAnsi="Times New Roman" w:cs="Times New Roman"/>
      <w:sz w:val="20"/>
      <w:szCs w:val="20"/>
    </w:rPr>
  </w:style>
  <w:style w:type="character" w:styleId="730">
    <w:name w:val="Основной текст Знак"/>
    <w:next w:val="730"/>
    <w:link w:val="731"/>
    <w:rPr>
      <w:spacing w:val="10"/>
      <w:sz w:val="24"/>
      <w:szCs w:val="24"/>
      <w:lang w:bidi="ar-SA"/>
    </w:rPr>
  </w:style>
  <w:style w:type="paragraph" w:styleId="731">
    <w:name w:val="Основной текст"/>
    <w:basedOn w:val="718"/>
    <w:next w:val="731"/>
    <w:link w:val="730"/>
    <w:pPr>
      <w:ind w:hanging="560"/>
      <w:spacing w:line="240" w:lineRule="atLeast"/>
      <w:shd w:val="clear" w:color="auto" w:fill="ffffff"/>
      <w:widowControl/>
    </w:pPr>
    <w:rPr>
      <w:rFonts w:ascii="Calibri" w:hAnsi="Calibri"/>
      <w:spacing w:val="10"/>
      <w:sz w:val="24"/>
      <w:szCs w:val="24"/>
      <w:lang w:val="en-US" w:eastAsia="en-US"/>
    </w:rPr>
  </w:style>
  <w:style w:type="character" w:styleId="732">
    <w:name w:val="Заголовок №3_"/>
    <w:next w:val="732"/>
    <w:link w:val="733"/>
    <w:rPr>
      <w:b/>
      <w:bCs/>
      <w:sz w:val="24"/>
      <w:szCs w:val="24"/>
      <w:lang w:bidi="ar-SA"/>
    </w:rPr>
  </w:style>
  <w:style w:type="paragraph" w:styleId="733">
    <w:name w:val="Заголовок №3"/>
    <w:basedOn w:val="718"/>
    <w:next w:val="733"/>
    <w:link w:val="732"/>
    <w:pPr>
      <w:ind w:hanging="2060"/>
      <w:spacing w:before="720" w:after="60" w:line="240" w:lineRule="atLeast"/>
      <w:shd w:val="clear" w:color="auto" w:fill="ffffff"/>
      <w:widowControl/>
      <w:outlineLvl w:val="2"/>
    </w:pPr>
    <w:rPr>
      <w:rFonts w:ascii="Calibri" w:hAnsi="Calibri"/>
      <w:b/>
      <w:bCs/>
      <w:sz w:val="24"/>
      <w:szCs w:val="24"/>
      <w:lang w:val="en-US" w:eastAsia="en-US"/>
    </w:rPr>
  </w:style>
  <w:style w:type="paragraph" w:styleId="734">
    <w:name w:val="Текст выноски"/>
    <w:basedOn w:val="718"/>
    <w:next w:val="734"/>
    <w:link w:val="746"/>
    <w:semiHidden/>
    <w:rPr>
      <w:rFonts w:ascii="Tahoma" w:hAnsi="Tahoma" w:cs="Tahoma"/>
      <w:sz w:val="16"/>
      <w:szCs w:val="16"/>
    </w:rPr>
  </w:style>
  <w:style w:type="paragraph" w:styleId="735">
    <w:name w:val="1 Знак Знак Знак Знак Знак Знак"/>
    <w:basedOn w:val="718"/>
    <w:next w:val="735"/>
    <w:link w:val="718"/>
    <w:pPr>
      <w:spacing w:before="100" w:beforeAutospacing="1" w:after="100" w:afterAutospacing="1"/>
      <w:widowControl/>
    </w:pPr>
    <w:rPr>
      <w:rFonts w:ascii="Tahoma" w:hAnsi="Tahoma"/>
      <w:lang w:val="en-US" w:eastAsia="en-US"/>
    </w:rPr>
  </w:style>
  <w:style w:type="paragraph" w:styleId="736">
    <w:name w:val="Текст примечания"/>
    <w:basedOn w:val="718"/>
    <w:next w:val="736"/>
    <w:link w:val="737"/>
    <w:unhideWhenUsed/>
    <w:pPr>
      <w:jc w:val="both"/>
      <w:spacing w:line="360" w:lineRule="atLeast"/>
      <w:widowControl/>
    </w:pPr>
    <w:rPr>
      <w:rFonts w:ascii="Times New Roman CYR" w:hAnsi="Times New Roman CYR"/>
      <w:lang w:val="en-US"/>
    </w:rPr>
  </w:style>
  <w:style w:type="character" w:styleId="737">
    <w:name w:val="Текст примечания Знак"/>
    <w:next w:val="737"/>
    <w:link w:val="736"/>
    <w:rPr>
      <w:rFonts w:ascii="Times New Roman CYR" w:hAnsi="Times New Roman CYR"/>
      <w:lang w:eastAsia="ru-RU" w:bidi="ar-SA"/>
    </w:rPr>
  </w:style>
  <w:style w:type="paragraph" w:styleId="738">
    <w:name w:val="Абзац списка1"/>
    <w:basedOn w:val="718"/>
    <w:next w:val="738"/>
    <w:link w:val="718"/>
    <w:pPr>
      <w:ind w:left="720"/>
      <w:spacing w:after="200" w:line="276" w:lineRule="auto"/>
      <w:widowControl/>
    </w:pPr>
    <w:rPr>
      <w:rFonts w:ascii="Calibri" w:hAnsi="Calibri" w:cs="Calibri"/>
      <w:sz w:val="22"/>
      <w:szCs w:val="22"/>
    </w:rPr>
  </w:style>
  <w:style w:type="paragraph" w:styleId="739">
    <w:name w:val="Название"/>
    <w:basedOn w:val="718"/>
    <w:next w:val="739"/>
    <w:link w:val="740"/>
    <w:qFormat/>
    <w:pPr>
      <w:jc w:val="center"/>
      <w:widowControl/>
    </w:pPr>
    <w:rPr>
      <w:rFonts w:ascii="Calibri" w:hAnsi="Calibri"/>
      <w:sz w:val="28"/>
      <w:lang w:val="en-US" w:eastAsia="en-US"/>
    </w:rPr>
  </w:style>
  <w:style w:type="character" w:styleId="740">
    <w:name w:val="Название Знак"/>
    <w:next w:val="740"/>
    <w:link w:val="739"/>
    <w:rPr>
      <w:sz w:val="28"/>
      <w:lang w:bidi="ar-SA"/>
    </w:rPr>
  </w:style>
  <w:style w:type="paragraph" w:styleId="741">
    <w:name w:val="Без интервала"/>
    <w:next w:val="741"/>
    <w:link w:val="718"/>
    <w:uiPriority w:val="1"/>
    <w:qFormat/>
    <w:pPr>
      <w:ind w:right="45" w:firstLine="851"/>
      <w:jc w:val="both"/>
    </w:pPr>
    <w:rPr>
      <w:rFonts w:eastAsia="Calibri"/>
      <w:sz w:val="22"/>
      <w:szCs w:val="22"/>
      <w:lang w:val="ru-RU" w:eastAsia="en-US" w:bidi="ar-SA"/>
    </w:rPr>
  </w:style>
  <w:style w:type="paragraph" w:styleId="742">
    <w:name w:val="ConsPlusNonformat"/>
    <w:next w:val="742"/>
    <w:link w:val="718"/>
    <w:rPr>
      <w:rFonts w:ascii="Courier New" w:hAnsi="Courier New" w:eastAsia="Calibri" w:cs="Courier New"/>
      <w:lang w:val="ru-RU" w:eastAsia="en-US" w:bidi="ar-SA"/>
    </w:rPr>
  </w:style>
  <w:style w:type="paragraph" w:styleId="743">
    <w:name w:val="Абзац списка"/>
    <w:basedOn w:val="718"/>
    <w:next w:val="743"/>
    <w:link w:val="718"/>
    <w:qFormat/>
    <w:pPr>
      <w:contextualSpacing/>
      <w:ind w:left="720"/>
      <w:spacing w:after="200" w:line="276" w:lineRule="auto"/>
      <w:widowControl/>
    </w:pPr>
    <w:rPr>
      <w:rFonts w:ascii="Calibri" w:hAnsi="Calibri" w:eastAsia="Calibri"/>
      <w:sz w:val="22"/>
      <w:szCs w:val="22"/>
      <w:lang w:eastAsia="en-US"/>
    </w:rPr>
  </w:style>
  <w:style w:type="paragraph" w:styleId="744">
    <w:name w:val="ConsPlusNormal"/>
    <w:next w:val="744"/>
    <w:link w:val="718"/>
    <w:pPr>
      <w:widowControl w:val="off"/>
    </w:pPr>
    <w:rPr>
      <w:rFonts w:ascii="Arial" w:hAnsi="Arial" w:eastAsia="Calibri" w:cs="Arial"/>
      <w:lang w:val="ru-RU" w:eastAsia="ru-RU" w:bidi="ar-SA"/>
    </w:rPr>
  </w:style>
  <w:style w:type="paragraph" w:styleId="745">
    <w:name w:val="ConsPlusCell"/>
    <w:next w:val="745"/>
    <w:link w:val="718"/>
    <w:rPr>
      <w:rFonts w:ascii="Times New Roman" w:hAnsi="Times New Roman" w:eastAsia="Calibri"/>
      <w:sz w:val="28"/>
      <w:szCs w:val="28"/>
      <w:lang w:val="ru-RU" w:eastAsia="en-US" w:bidi="ar-SA"/>
    </w:rPr>
  </w:style>
  <w:style w:type="character" w:styleId="746">
    <w:name w:val="Текст выноски Знак"/>
    <w:next w:val="746"/>
    <w:link w:val="734"/>
    <w:semiHidden/>
    <w:rPr>
      <w:rFonts w:ascii="Tahoma" w:hAnsi="Tahoma" w:cs="Tahoma"/>
      <w:sz w:val="16"/>
      <w:szCs w:val="16"/>
      <w:lang w:val="ru-RU" w:eastAsia="ru-RU" w:bidi="ar-SA"/>
    </w:rPr>
  </w:style>
  <w:style w:type="numbering" w:styleId="747">
    <w:name w:val="Нет списка1"/>
    <w:next w:val="724"/>
    <w:link w:val="718"/>
    <w:semiHidden/>
    <w:unhideWhenUsed/>
  </w:style>
  <w:style w:type="table" w:styleId="748">
    <w:name w:val="Сетка таблицы1"/>
    <w:basedOn w:val="723"/>
    <w:next w:val="725"/>
    <w:link w:val="718"/>
    <w:rPr>
      <w:rFonts w:eastAsia="Calibri"/>
      <w:sz w:val="22"/>
      <w:szCs w:val="22"/>
      <w:lang w:eastAsia="en-US"/>
    </w:rPr>
    <w:tblPr/>
  </w:style>
  <w:style w:type="numbering" w:styleId="749">
    <w:name w:val="Нет списка2"/>
    <w:next w:val="724"/>
    <w:link w:val="718"/>
    <w:semiHidden/>
    <w:unhideWhenUsed/>
  </w:style>
  <w:style w:type="table" w:styleId="750">
    <w:name w:val="Сетка таблицы2"/>
    <w:basedOn w:val="723"/>
    <w:next w:val="725"/>
    <w:link w:val="718"/>
    <w:rPr>
      <w:rFonts w:eastAsia="Calibri"/>
      <w:sz w:val="22"/>
      <w:szCs w:val="22"/>
      <w:lang w:eastAsia="en-US"/>
    </w:rPr>
    <w:tblPr/>
  </w:style>
  <w:style w:type="character" w:styleId="751">
    <w:name w:val="Заголовок 1 Знак"/>
    <w:next w:val="751"/>
    <w:link w:val="719"/>
    <w:rPr>
      <w:sz w:val="28"/>
      <w:lang w:bidi="ar-SA"/>
    </w:rPr>
  </w:style>
  <w:style w:type="character" w:styleId="752">
    <w:name w:val="Заголовок 5 Знак"/>
    <w:next w:val="752"/>
    <w:link w:val="721"/>
    <w:rPr>
      <w:rFonts w:ascii="Calibri" w:hAnsi="Calibri"/>
      <w:b/>
      <w:bCs/>
      <w:i/>
      <w:iCs/>
      <w:sz w:val="26"/>
      <w:szCs w:val="26"/>
      <w:lang w:bidi="ar-SA"/>
    </w:rPr>
  </w:style>
  <w:style w:type="paragraph" w:styleId="753">
    <w:name w:val="Нормальный (таблица)"/>
    <w:basedOn w:val="718"/>
    <w:next w:val="718"/>
    <w:link w:val="718"/>
    <w:uiPriority w:val="99"/>
    <w:pPr>
      <w:jc w:val="both"/>
    </w:pPr>
    <w:rPr>
      <w:rFonts w:ascii="Arial" w:hAnsi="Arial" w:cs="Arial"/>
      <w:sz w:val="24"/>
      <w:szCs w:val="24"/>
    </w:rPr>
  </w:style>
  <w:style w:type="character" w:styleId="754">
    <w:name w:val="link"/>
    <w:basedOn w:val="722"/>
    <w:next w:val="754"/>
    <w:link w:val="718"/>
  </w:style>
  <w:style w:type="character" w:styleId="755">
    <w:name w:val="Заголовок 4 Знак"/>
    <w:next w:val="755"/>
    <w:link w:val="720"/>
    <w:semiHidden/>
    <w:rPr>
      <w:rFonts w:ascii="Calibri" w:hAnsi="Calibri"/>
      <w:b/>
      <w:bCs/>
      <w:sz w:val="28"/>
      <w:szCs w:val="28"/>
      <w:lang w:bidi="ar-SA"/>
    </w:rPr>
  </w:style>
  <w:style w:type="paragraph" w:styleId="756">
    <w:name w:val="Основной текст 2"/>
    <w:basedOn w:val="718"/>
    <w:next w:val="756"/>
    <w:link w:val="757"/>
    <w:pPr>
      <w:jc w:val="both"/>
      <w:widowControl/>
    </w:pPr>
    <w:rPr>
      <w:rFonts w:ascii="Calibri" w:hAnsi="Calibri" w:eastAsia="Calibri"/>
      <w:b/>
      <w:bCs/>
      <w:sz w:val="27"/>
      <w:szCs w:val="27"/>
    </w:rPr>
  </w:style>
  <w:style w:type="character" w:styleId="757">
    <w:name w:val="Основной текст 2 Знак"/>
    <w:next w:val="757"/>
    <w:link w:val="756"/>
    <w:rPr>
      <w:rFonts w:eastAsia="Calibri"/>
      <w:b/>
      <w:bCs/>
      <w:sz w:val="27"/>
      <w:szCs w:val="27"/>
      <w:lang w:val="ru-RU" w:eastAsia="ru-RU" w:bidi="ar-SA"/>
    </w:rPr>
  </w:style>
  <w:style w:type="paragraph" w:styleId="758">
    <w:name w:val="Схема документа"/>
    <w:basedOn w:val="718"/>
    <w:next w:val="758"/>
    <w:link w:val="718"/>
    <w:semiHidden/>
    <w:pPr>
      <w:shd w:val="clear" w:color="auto" w:fill="000080"/>
    </w:pPr>
    <w:rPr>
      <w:rFonts w:ascii="Tahoma" w:hAnsi="Tahoma" w:cs="Tahoma"/>
    </w:rPr>
  </w:style>
  <w:style w:type="paragraph" w:styleId="759">
    <w:name w:val="Без интервала1"/>
    <w:next w:val="759"/>
    <w:link w:val="718"/>
    <w:rPr>
      <w:rFonts w:eastAsia="Calibri"/>
      <w:sz w:val="22"/>
      <w:szCs w:val="22"/>
      <w:lang w:val="ru-RU" w:eastAsia="ru-RU" w:bidi="ar-SA"/>
    </w:rPr>
  </w:style>
  <w:style w:type="character" w:styleId="760">
    <w:name w:val="Знак примечания"/>
    <w:next w:val="760"/>
    <w:link w:val="718"/>
    <w:semiHidden/>
    <w:rPr>
      <w:sz w:val="16"/>
      <w:szCs w:val="16"/>
    </w:rPr>
  </w:style>
  <w:style w:type="paragraph" w:styleId="761">
    <w:name w:val="Тема примечания"/>
    <w:basedOn w:val="736"/>
    <w:next w:val="736"/>
    <w:link w:val="718"/>
    <w:semiHidden/>
    <w:pPr>
      <w:jc w:val="left"/>
      <w:spacing w:line="240" w:lineRule="auto"/>
      <w:widowControl w:val="off"/>
    </w:pPr>
    <w:rPr>
      <w:rFonts w:ascii="Times New Roman" w:hAnsi="Times New Roman"/>
      <w:b/>
      <w:bCs/>
    </w:rPr>
  </w:style>
  <w:style w:type="character" w:styleId="762">
    <w:name w:val="Номер страницы"/>
    <w:basedOn w:val="722"/>
    <w:next w:val="762"/>
    <w:link w:val="718"/>
  </w:style>
  <w:style w:type="paragraph" w:styleId="763">
    <w:name w:val="Прижатый влево"/>
    <w:basedOn w:val="718"/>
    <w:next w:val="718"/>
    <w:link w:val="718"/>
    <w:uiPriority w:val="99"/>
    <w:rPr>
      <w:rFonts w:ascii="Arial" w:hAnsi="Arial" w:cs="Arial"/>
      <w:sz w:val="24"/>
      <w:szCs w:val="24"/>
    </w:rPr>
  </w:style>
  <w:style w:type="paragraph" w:styleId="764">
    <w:name w:val="Таблицы (моноширинный)"/>
    <w:basedOn w:val="718"/>
    <w:next w:val="718"/>
    <w:link w:val="718"/>
    <w:pPr>
      <w:jc w:val="both"/>
    </w:pPr>
    <w:rPr>
      <w:rFonts w:ascii="Courier New" w:hAnsi="Courier New" w:cs="Courier New"/>
      <w:sz w:val="22"/>
      <w:szCs w:val="22"/>
    </w:rPr>
  </w:style>
  <w:style w:type="paragraph" w:styleId="765">
    <w:name w:val="Основной текст 1-табличный"/>
    <w:basedOn w:val="731"/>
    <w:next w:val="765"/>
    <w:link w:val="718"/>
    <w:pPr>
      <w:ind w:firstLine="0"/>
      <w:spacing w:after="120" w:line="240" w:lineRule="auto"/>
    </w:pPr>
    <w:rPr>
      <w:rFonts w:ascii="Times New Roman" w:hAnsi="Times New Roman"/>
      <w:spacing w:val="0"/>
    </w:rPr>
  </w:style>
  <w:style w:type="character" w:styleId="766">
    <w:name w:val="Цветовое выделение"/>
    <w:next w:val="766"/>
    <w:link w:val="718"/>
    <w:uiPriority w:val="99"/>
    <w:rPr>
      <w:b/>
      <w:bCs/>
      <w:color w:val="26282f"/>
    </w:rPr>
  </w:style>
  <w:style w:type="paragraph" w:styleId="767">
    <w:name w:val="Standard"/>
    <w:next w:val="767"/>
    <w:link w:val="718"/>
    <w:pPr>
      <w:widowControl w:val="off"/>
    </w:pPr>
    <w:rPr>
      <w:rFonts w:ascii="Times New Roman" w:hAnsi="Times New Roman" w:eastAsia="Andale Sans UI" w:cs="Tahoma"/>
      <w:sz w:val="24"/>
      <w:szCs w:val="24"/>
      <w:lang w:val="de-DE" w:eastAsia="ja-JP" w:bidi="fa-IR"/>
    </w:rPr>
  </w:style>
  <w:style w:type="paragraph" w:styleId="768">
    <w:name w:val="Text body"/>
    <w:basedOn w:val="767"/>
    <w:next w:val="768"/>
    <w:link w:val="718"/>
    <w:pPr>
      <w:spacing w:after="120"/>
    </w:pPr>
  </w:style>
  <w:style w:type="paragraph" w:styleId="769">
    <w:name w:val="Table Contents"/>
    <w:basedOn w:val="767"/>
    <w:next w:val="769"/>
    <w:link w:val="718"/>
    <w:pPr>
      <w:suppressLineNumbers/>
    </w:pPr>
    <w:rPr>
      <w:rFonts w:ascii="Arial" w:hAnsi="Arial" w:eastAsia="Arial Unicode MS" w:cs="Times New Roman"/>
    </w:rPr>
  </w:style>
  <w:style w:type="character" w:styleId="770">
    <w:name w:val="Гиперссылка"/>
    <w:next w:val="770"/>
    <w:link w:val="718"/>
    <w:uiPriority w:val="99"/>
    <w:unhideWhenUsed/>
    <w:rPr>
      <w:color w:val="0563c1"/>
      <w:u w:val="single"/>
    </w:rPr>
  </w:style>
  <w:style w:type="character" w:styleId="771">
    <w:name w:val="Гипертекстовая ссылка"/>
    <w:next w:val="771"/>
    <w:link w:val="718"/>
    <w:uiPriority w:val="99"/>
    <w:rPr>
      <w:b/>
      <w:bCs/>
      <w:color w:val="106bbe"/>
    </w:rPr>
  </w:style>
  <w:style w:type="character" w:styleId="2199" w:default="1">
    <w:name w:val="Default Paragraph Font"/>
    <w:uiPriority w:val="1"/>
    <w:semiHidden/>
    <w:unhideWhenUsed/>
  </w:style>
  <w:style w:type="numbering" w:styleId="2200" w:default="1">
    <w:name w:val="No List"/>
    <w:uiPriority w:val="99"/>
    <w:semiHidden/>
    <w:unhideWhenUsed/>
  </w:style>
  <w:style w:type="table" w:styleId="220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Krokoz™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Пользователь</dc:creator>
  <cp:revision>6</cp:revision>
  <dcterms:created xsi:type="dcterms:W3CDTF">2026-03-23T11:14:00Z</dcterms:created>
  <dcterms:modified xsi:type="dcterms:W3CDTF">2026-03-27T08:17:03Z</dcterms:modified>
  <cp:version>983040</cp:version>
</cp:coreProperties>
</file>